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4050" w:rsidRPr="00924050" w:rsidRDefault="00924050" w:rsidP="00924050">
      <w:pPr>
        <w:jc w:val="both"/>
        <w:rPr>
          <w:sz w:val="28"/>
          <w:szCs w:val="28"/>
        </w:rPr>
      </w:pPr>
    </w:p>
    <w:p w:rsidR="00924050" w:rsidRPr="00924050" w:rsidRDefault="00924050" w:rsidP="00924050">
      <w:pPr>
        <w:tabs>
          <w:tab w:val="left" w:pos="3360"/>
        </w:tabs>
        <w:jc w:val="both"/>
        <w:rPr>
          <w:b/>
          <w:bCs/>
          <w:sz w:val="28"/>
          <w:szCs w:val="28"/>
        </w:rPr>
      </w:pPr>
      <w:r w:rsidRPr="00924050">
        <w:rPr>
          <w:sz w:val="28"/>
          <w:szCs w:val="28"/>
        </w:rPr>
        <w:tab/>
      </w:r>
      <w:r w:rsidRPr="00924050">
        <w:rPr>
          <w:b/>
          <w:bCs/>
          <w:sz w:val="28"/>
          <w:szCs w:val="28"/>
        </w:rPr>
        <w:tab/>
        <w:t>INDICAÇÃO Nº</w:t>
      </w:r>
    </w:p>
    <w:p w:rsidR="00924050" w:rsidRPr="00924050" w:rsidRDefault="00924050" w:rsidP="00924050">
      <w:pPr>
        <w:tabs>
          <w:tab w:val="left" w:pos="3360"/>
        </w:tabs>
        <w:jc w:val="both"/>
        <w:rPr>
          <w:b/>
          <w:bCs/>
          <w:sz w:val="28"/>
          <w:szCs w:val="28"/>
        </w:rPr>
      </w:pPr>
    </w:p>
    <w:p w:rsidR="00924050" w:rsidRPr="00924050" w:rsidRDefault="00924050" w:rsidP="00924050">
      <w:pPr>
        <w:tabs>
          <w:tab w:val="left" w:pos="3360"/>
        </w:tabs>
        <w:jc w:val="both"/>
        <w:rPr>
          <w:sz w:val="28"/>
          <w:szCs w:val="28"/>
        </w:rPr>
      </w:pPr>
      <w:r w:rsidRPr="00924050">
        <w:rPr>
          <w:sz w:val="28"/>
          <w:szCs w:val="28"/>
        </w:rPr>
        <w:t xml:space="preserve">Senhora Presidenta </w:t>
      </w:r>
    </w:p>
    <w:p w:rsidR="00924050" w:rsidRPr="00924050" w:rsidRDefault="00924050" w:rsidP="00924050">
      <w:pPr>
        <w:tabs>
          <w:tab w:val="left" w:pos="3360"/>
        </w:tabs>
        <w:jc w:val="both"/>
        <w:rPr>
          <w:sz w:val="28"/>
          <w:szCs w:val="28"/>
        </w:rPr>
      </w:pPr>
    </w:p>
    <w:p w:rsidR="00924050" w:rsidRPr="00924050" w:rsidRDefault="00924050" w:rsidP="00924050">
      <w:pPr>
        <w:tabs>
          <w:tab w:val="left" w:pos="3360"/>
        </w:tabs>
        <w:ind w:firstLine="709"/>
        <w:jc w:val="both"/>
        <w:rPr>
          <w:sz w:val="28"/>
          <w:szCs w:val="28"/>
        </w:rPr>
      </w:pPr>
      <w:r w:rsidRPr="00924050">
        <w:rPr>
          <w:sz w:val="28"/>
          <w:szCs w:val="28"/>
        </w:rPr>
        <w:t>Na forma regimental requeiro a V. Exa. que, depois de ouvida a Mesa, seja encaminhado expediente ao Excelen</w:t>
      </w:r>
      <w:bookmarkStart w:id="0" w:name="_GoBack"/>
      <w:bookmarkEnd w:id="0"/>
      <w:r w:rsidRPr="00924050">
        <w:rPr>
          <w:sz w:val="28"/>
          <w:szCs w:val="28"/>
        </w:rPr>
        <w:t xml:space="preserve">tíssimo Senhor Governador Carlos Brandão, solicitando a </w:t>
      </w:r>
      <w:r w:rsidRPr="004404B2">
        <w:rPr>
          <w:sz w:val="28"/>
          <w:szCs w:val="28"/>
        </w:rPr>
        <w:t>criação</w:t>
      </w:r>
      <w:r w:rsidRPr="00924050">
        <w:rPr>
          <w:b/>
          <w:bCs/>
          <w:sz w:val="28"/>
          <w:szCs w:val="28"/>
        </w:rPr>
        <w:t xml:space="preserve"> </w:t>
      </w:r>
      <w:r w:rsidRPr="00924050">
        <w:rPr>
          <w:sz w:val="28"/>
          <w:szCs w:val="28"/>
        </w:rPr>
        <w:t>da SECRETARIA ESTADUAL DOS POVOS INDÍGENAS, com a estrutura que o Estado já oferece, sem novas despesas orçamentárias para o ano corrente, com a junção do que já existe em uma só pasta, conforme melhor deliberar o Executivo Estadual, conforme prevê o art. 30, VII, da Constituição Estadual do Maranhão.</w:t>
      </w:r>
    </w:p>
    <w:p w:rsidR="00924050" w:rsidRPr="00924050" w:rsidRDefault="00924050" w:rsidP="00924050">
      <w:pPr>
        <w:tabs>
          <w:tab w:val="left" w:pos="3360"/>
        </w:tabs>
        <w:ind w:firstLine="709"/>
        <w:jc w:val="both"/>
        <w:rPr>
          <w:b/>
          <w:bCs/>
          <w:sz w:val="28"/>
          <w:szCs w:val="28"/>
        </w:rPr>
      </w:pPr>
    </w:p>
    <w:p w:rsidR="00924050" w:rsidRPr="00924050" w:rsidRDefault="00924050" w:rsidP="00924050">
      <w:pPr>
        <w:tabs>
          <w:tab w:val="left" w:pos="3360"/>
        </w:tabs>
        <w:ind w:firstLine="709"/>
        <w:jc w:val="both"/>
        <w:rPr>
          <w:b/>
          <w:bCs/>
          <w:sz w:val="28"/>
          <w:szCs w:val="28"/>
        </w:rPr>
      </w:pPr>
    </w:p>
    <w:p w:rsidR="00924050" w:rsidRPr="00924050" w:rsidRDefault="00924050" w:rsidP="00924050">
      <w:pPr>
        <w:tabs>
          <w:tab w:val="left" w:pos="3360"/>
        </w:tabs>
        <w:ind w:firstLine="709"/>
        <w:jc w:val="both"/>
        <w:rPr>
          <w:b/>
          <w:bCs/>
          <w:sz w:val="28"/>
          <w:szCs w:val="28"/>
        </w:rPr>
      </w:pPr>
    </w:p>
    <w:p w:rsidR="00924050" w:rsidRPr="00924050" w:rsidRDefault="00924050" w:rsidP="00924050">
      <w:pPr>
        <w:tabs>
          <w:tab w:val="left" w:pos="3360"/>
        </w:tabs>
        <w:ind w:firstLine="709"/>
        <w:jc w:val="both"/>
        <w:rPr>
          <w:b/>
          <w:bCs/>
          <w:sz w:val="28"/>
          <w:szCs w:val="28"/>
        </w:rPr>
      </w:pPr>
    </w:p>
    <w:p w:rsidR="00924050" w:rsidRPr="00924050" w:rsidRDefault="00924050" w:rsidP="00924050">
      <w:pPr>
        <w:tabs>
          <w:tab w:val="left" w:pos="3360"/>
        </w:tabs>
        <w:ind w:firstLine="709"/>
        <w:jc w:val="both"/>
        <w:rPr>
          <w:b/>
          <w:bCs/>
          <w:sz w:val="28"/>
          <w:szCs w:val="28"/>
        </w:rPr>
      </w:pPr>
      <w:r w:rsidRPr="00924050">
        <w:rPr>
          <w:b/>
          <w:bCs/>
          <w:sz w:val="28"/>
          <w:szCs w:val="28"/>
        </w:rPr>
        <w:t>SALA DAS SESSÕES DA ASSEMBLEIA LEGISLATIVA DO ESTADO DO MARANHÃO, 06 de fevereiro de 2023.</w:t>
      </w:r>
    </w:p>
    <w:p w:rsidR="00924050" w:rsidRPr="00924050" w:rsidRDefault="00924050" w:rsidP="00924050">
      <w:pPr>
        <w:tabs>
          <w:tab w:val="left" w:pos="3360"/>
        </w:tabs>
        <w:spacing w:after="0" w:line="240" w:lineRule="auto"/>
        <w:ind w:firstLine="709"/>
        <w:jc w:val="both"/>
        <w:rPr>
          <w:sz w:val="28"/>
          <w:szCs w:val="28"/>
        </w:rPr>
      </w:pPr>
    </w:p>
    <w:p w:rsidR="00924050" w:rsidRPr="00924050" w:rsidRDefault="00924050" w:rsidP="00924050">
      <w:pPr>
        <w:tabs>
          <w:tab w:val="left" w:pos="3360"/>
        </w:tabs>
        <w:spacing w:after="0" w:line="240" w:lineRule="auto"/>
        <w:jc w:val="both"/>
        <w:rPr>
          <w:sz w:val="28"/>
          <w:szCs w:val="28"/>
        </w:rPr>
      </w:pPr>
    </w:p>
    <w:p w:rsidR="00924050" w:rsidRPr="00924050" w:rsidRDefault="00924050" w:rsidP="00924050">
      <w:pPr>
        <w:tabs>
          <w:tab w:val="left" w:pos="3360"/>
        </w:tabs>
        <w:spacing w:after="0" w:line="240" w:lineRule="auto"/>
        <w:ind w:firstLine="709"/>
        <w:jc w:val="both"/>
        <w:rPr>
          <w:sz w:val="28"/>
          <w:szCs w:val="28"/>
        </w:rPr>
      </w:pPr>
    </w:p>
    <w:p w:rsidR="00924050" w:rsidRPr="00924050" w:rsidRDefault="00924050" w:rsidP="00924050">
      <w:pPr>
        <w:tabs>
          <w:tab w:val="left" w:pos="3360"/>
        </w:tabs>
        <w:spacing w:after="0" w:line="240" w:lineRule="auto"/>
        <w:ind w:firstLine="709"/>
        <w:jc w:val="both"/>
        <w:rPr>
          <w:sz w:val="28"/>
          <w:szCs w:val="28"/>
        </w:rPr>
      </w:pPr>
    </w:p>
    <w:p w:rsidR="00924050" w:rsidRPr="00924050" w:rsidRDefault="00924050" w:rsidP="00924050">
      <w:pPr>
        <w:tabs>
          <w:tab w:val="left" w:pos="3360"/>
        </w:tabs>
        <w:spacing w:after="0" w:line="240" w:lineRule="auto"/>
        <w:ind w:firstLine="709"/>
        <w:jc w:val="both"/>
        <w:rPr>
          <w:sz w:val="28"/>
          <w:szCs w:val="28"/>
        </w:rPr>
      </w:pPr>
    </w:p>
    <w:p w:rsidR="00924050" w:rsidRPr="00924050" w:rsidRDefault="00924050" w:rsidP="00924050">
      <w:pPr>
        <w:tabs>
          <w:tab w:val="left" w:pos="3360"/>
        </w:tabs>
        <w:spacing w:after="0" w:line="240" w:lineRule="auto"/>
        <w:ind w:firstLine="709"/>
        <w:jc w:val="center"/>
        <w:rPr>
          <w:sz w:val="28"/>
          <w:szCs w:val="28"/>
        </w:rPr>
      </w:pPr>
      <w:r w:rsidRPr="00924050">
        <w:rPr>
          <w:sz w:val="28"/>
          <w:szCs w:val="28"/>
        </w:rPr>
        <w:t>ABIGAIL CUNHA</w:t>
      </w:r>
    </w:p>
    <w:p w:rsidR="00924050" w:rsidRPr="00924050" w:rsidRDefault="00924050" w:rsidP="00924050">
      <w:pPr>
        <w:tabs>
          <w:tab w:val="left" w:pos="3360"/>
        </w:tabs>
        <w:spacing w:after="0" w:line="240" w:lineRule="auto"/>
        <w:ind w:firstLine="709"/>
        <w:jc w:val="center"/>
        <w:rPr>
          <w:sz w:val="28"/>
          <w:szCs w:val="28"/>
        </w:rPr>
      </w:pPr>
      <w:r w:rsidRPr="00924050">
        <w:rPr>
          <w:sz w:val="28"/>
          <w:szCs w:val="28"/>
        </w:rPr>
        <w:t>Deputada Estadual</w:t>
      </w:r>
    </w:p>
    <w:p w:rsidR="00924050" w:rsidRPr="00924050" w:rsidRDefault="00924050" w:rsidP="00924050">
      <w:pPr>
        <w:jc w:val="both"/>
        <w:rPr>
          <w:sz w:val="28"/>
          <w:szCs w:val="28"/>
        </w:rPr>
      </w:pPr>
    </w:p>
    <w:p w:rsidR="00924050" w:rsidRPr="00924050" w:rsidRDefault="00924050" w:rsidP="00924050">
      <w:pPr>
        <w:jc w:val="both"/>
        <w:rPr>
          <w:sz w:val="24"/>
          <w:szCs w:val="24"/>
        </w:rPr>
      </w:pPr>
    </w:p>
    <w:p w:rsidR="00924050" w:rsidRPr="00924050" w:rsidRDefault="00924050" w:rsidP="00924050">
      <w:pPr>
        <w:jc w:val="both"/>
        <w:rPr>
          <w:sz w:val="24"/>
          <w:szCs w:val="24"/>
        </w:rPr>
      </w:pPr>
    </w:p>
    <w:p w:rsidR="00924050" w:rsidRDefault="00924050" w:rsidP="00924050">
      <w:pPr>
        <w:tabs>
          <w:tab w:val="left" w:pos="3720"/>
        </w:tabs>
        <w:jc w:val="both"/>
        <w:rPr>
          <w:sz w:val="24"/>
          <w:szCs w:val="24"/>
        </w:rPr>
      </w:pPr>
      <w:r w:rsidRPr="00924050">
        <w:rPr>
          <w:sz w:val="24"/>
          <w:szCs w:val="24"/>
        </w:rPr>
        <w:lastRenderedPageBreak/>
        <w:tab/>
      </w:r>
    </w:p>
    <w:p w:rsidR="00924050" w:rsidRDefault="00924050" w:rsidP="00924050">
      <w:pPr>
        <w:tabs>
          <w:tab w:val="left" w:pos="3720"/>
        </w:tabs>
        <w:jc w:val="center"/>
        <w:rPr>
          <w:b/>
          <w:bCs/>
          <w:sz w:val="24"/>
          <w:szCs w:val="24"/>
          <w:u w:val="single"/>
        </w:rPr>
      </w:pPr>
      <w:r w:rsidRPr="00924050">
        <w:rPr>
          <w:b/>
          <w:bCs/>
          <w:sz w:val="28"/>
          <w:szCs w:val="28"/>
          <w:u w:val="single"/>
        </w:rPr>
        <w:t>JUSTIFICATIVA:</w:t>
      </w:r>
    </w:p>
    <w:p w:rsidR="00924050" w:rsidRPr="00924050" w:rsidRDefault="00924050" w:rsidP="00924050">
      <w:pPr>
        <w:tabs>
          <w:tab w:val="left" w:pos="3720"/>
        </w:tabs>
        <w:jc w:val="center"/>
        <w:rPr>
          <w:b/>
          <w:bCs/>
          <w:sz w:val="24"/>
          <w:szCs w:val="24"/>
          <w:u w:val="single"/>
        </w:rPr>
      </w:pPr>
    </w:p>
    <w:p w:rsidR="00924050" w:rsidRPr="00924050" w:rsidRDefault="00924050" w:rsidP="00924050">
      <w:pPr>
        <w:tabs>
          <w:tab w:val="left" w:pos="3720"/>
        </w:tabs>
        <w:spacing w:after="0" w:line="360" w:lineRule="auto"/>
        <w:ind w:firstLine="851"/>
        <w:jc w:val="both"/>
        <w:rPr>
          <w:sz w:val="24"/>
          <w:szCs w:val="24"/>
        </w:rPr>
      </w:pPr>
      <w:r w:rsidRPr="00924050">
        <w:rPr>
          <w:sz w:val="24"/>
          <w:szCs w:val="24"/>
        </w:rPr>
        <w:t>Os povos indígenas do Maranhão há séculos vêm exprimindo traços de um modo próprio de vida. São tradições e costumes expressos num simbolismo cultural capaz de sobreviver a resistir a décadas de existência, ao passo que a relação com a sociedade envolvente vai se intensificando e refletindo numa relação mais equitativa com relação a igualdade de direitos garantidos e o respeito aos direitos consuetudinários, refletindo assim num tempo em que indígenas e não-indígenas decidem juntos o futuro de suas sociedades, com respeito e valorização de suas diversidades étnicas e culturais, características do povo brasileiro.</w:t>
      </w:r>
    </w:p>
    <w:p w:rsidR="00924050" w:rsidRPr="00924050" w:rsidRDefault="00924050" w:rsidP="00924050">
      <w:pPr>
        <w:tabs>
          <w:tab w:val="left" w:pos="3720"/>
        </w:tabs>
        <w:spacing w:after="0" w:line="360" w:lineRule="auto"/>
        <w:ind w:firstLine="851"/>
        <w:jc w:val="both"/>
        <w:rPr>
          <w:sz w:val="24"/>
          <w:szCs w:val="24"/>
        </w:rPr>
      </w:pPr>
      <w:r w:rsidRPr="00924050">
        <w:rPr>
          <w:sz w:val="24"/>
          <w:szCs w:val="24"/>
        </w:rPr>
        <w:t xml:space="preserve">Com a criação da Secretaria Estadual dos Povos Indígenas no Maranhão, teremos um ambiente eficaz na formulação de políticas públicas relacionadas às questões culturais, étnicas e de proteção à natureza dos Povos Indígenas do Estado do Maranhão, podendo ser referência para outras regiões do país. No que diz respeito às suas demandas sociais e políticas, prestará assessorias ao Poder Executivo, estimulando, apoiando e desenvolvendo estudos, pesquisas e debates sobre as condições em que vivem as populações indígenas. Fiscalizará e exigirá o cumprimento da legislação em vigor concernente aos direitos assegurados e garantidos a estes homens e mulheres. Realizará ações de proteção ao meio ambiente, de maneira equilibrada e equitativa e autossustentada. Buscará apoiar as instituições não governamentais, na busca de uma relação harmônica e democrática com as diversas comunidades indígenas da região, além de oferecer serviço institucional garantidos na Constituição Estadual e reafirmado pelas ações do Poder Executivo Estadual, que trabalha com a percepção das características próprias de seu povo e, que, portanto, precisa criar elos com todas as suas organizações e lideranças indígenas, respeitando suas especificidades, valorizando </w:t>
      </w:r>
      <w:r w:rsidRPr="00924050">
        <w:rPr>
          <w:sz w:val="24"/>
          <w:szCs w:val="24"/>
        </w:rPr>
        <w:lastRenderedPageBreak/>
        <w:t>seu trabalho comunitário em favor da vida humana e natural, dando condições para que estas possam conquistar sua autonomia e viver segundo seus costumes e tradições.</w:t>
      </w:r>
    </w:p>
    <w:p w:rsidR="00924050" w:rsidRPr="00924050" w:rsidRDefault="00924050" w:rsidP="00924050">
      <w:pPr>
        <w:tabs>
          <w:tab w:val="left" w:pos="3720"/>
        </w:tabs>
        <w:spacing w:after="0" w:line="360" w:lineRule="auto"/>
        <w:ind w:firstLine="851"/>
        <w:jc w:val="both"/>
        <w:rPr>
          <w:sz w:val="24"/>
          <w:szCs w:val="24"/>
        </w:rPr>
      </w:pPr>
      <w:r w:rsidRPr="00924050">
        <w:rPr>
          <w:sz w:val="24"/>
          <w:szCs w:val="24"/>
        </w:rPr>
        <w:t>O Maranhão é um dos estados com o maior número de terras indígenas tanto historicamente quanto atualmente. No Século XVII há registros de que a população chegou a 250 mil índios de 30 etnias diferentes.</w:t>
      </w:r>
    </w:p>
    <w:p w:rsidR="00924050" w:rsidRPr="00924050" w:rsidRDefault="00924050" w:rsidP="00924050">
      <w:pPr>
        <w:tabs>
          <w:tab w:val="left" w:pos="3720"/>
        </w:tabs>
        <w:spacing w:after="0" w:line="360" w:lineRule="auto"/>
        <w:ind w:firstLine="851"/>
        <w:jc w:val="both"/>
        <w:rPr>
          <w:b/>
          <w:bCs/>
          <w:sz w:val="24"/>
          <w:szCs w:val="24"/>
          <w:u w:val="single"/>
        </w:rPr>
      </w:pPr>
    </w:p>
    <w:p w:rsidR="00924050" w:rsidRPr="00924050" w:rsidRDefault="00924050" w:rsidP="00924050">
      <w:pPr>
        <w:tabs>
          <w:tab w:val="left" w:pos="3720"/>
        </w:tabs>
        <w:spacing w:after="0" w:line="360" w:lineRule="auto"/>
        <w:ind w:firstLine="851"/>
        <w:jc w:val="both"/>
        <w:rPr>
          <w:b/>
          <w:bCs/>
          <w:sz w:val="24"/>
          <w:szCs w:val="24"/>
          <w:u w:val="single"/>
        </w:rPr>
      </w:pPr>
      <w:r w:rsidRPr="00924050">
        <w:rPr>
          <w:b/>
          <w:bCs/>
          <w:sz w:val="24"/>
          <w:szCs w:val="24"/>
          <w:u w:val="single"/>
        </w:rPr>
        <w:t>POPULAÇÃO INDÍGENA DO MARANHÃO</w:t>
      </w:r>
    </w:p>
    <w:p w:rsidR="00924050" w:rsidRPr="00924050" w:rsidRDefault="00924050" w:rsidP="00924050">
      <w:pPr>
        <w:tabs>
          <w:tab w:val="left" w:pos="3720"/>
        </w:tabs>
        <w:spacing w:after="0" w:line="360" w:lineRule="auto"/>
        <w:ind w:firstLine="851"/>
        <w:jc w:val="both"/>
        <w:rPr>
          <w:sz w:val="24"/>
          <w:szCs w:val="24"/>
        </w:rPr>
      </w:pPr>
    </w:p>
    <w:p w:rsidR="00924050" w:rsidRPr="00924050" w:rsidRDefault="00924050" w:rsidP="00924050">
      <w:pPr>
        <w:tabs>
          <w:tab w:val="left" w:pos="3720"/>
        </w:tabs>
        <w:spacing w:after="0" w:line="360" w:lineRule="auto"/>
        <w:ind w:firstLine="851"/>
        <w:jc w:val="both"/>
        <w:rPr>
          <w:sz w:val="24"/>
          <w:szCs w:val="24"/>
        </w:rPr>
      </w:pPr>
      <w:r w:rsidRPr="00924050">
        <w:rPr>
          <w:sz w:val="24"/>
          <w:szCs w:val="24"/>
        </w:rPr>
        <w:t xml:space="preserve">Atualmente, os Povos Indígenas no Maranhão estão presentes em todas as regiões do Estado, </w:t>
      </w:r>
      <w:r w:rsidR="00E82D5D">
        <w:rPr>
          <w:sz w:val="24"/>
          <w:szCs w:val="24"/>
        </w:rPr>
        <w:t>oficialmente reconhecido pelos órgãos de Estado,</w:t>
      </w:r>
      <w:r w:rsidRPr="00924050">
        <w:rPr>
          <w:sz w:val="24"/>
          <w:szCs w:val="24"/>
        </w:rPr>
        <w:t xml:space="preserve"> em </w:t>
      </w:r>
      <w:r>
        <w:rPr>
          <w:sz w:val="24"/>
          <w:szCs w:val="24"/>
        </w:rPr>
        <w:t>22</w:t>
      </w:r>
      <w:r w:rsidRPr="00924050">
        <w:rPr>
          <w:sz w:val="24"/>
          <w:szCs w:val="24"/>
        </w:rPr>
        <w:t xml:space="preserve"> municípios</w:t>
      </w:r>
      <w:r>
        <w:rPr>
          <w:sz w:val="24"/>
          <w:szCs w:val="24"/>
        </w:rPr>
        <w:t>, sendo</w:t>
      </w:r>
      <w:r w:rsidR="00E82D5D">
        <w:rPr>
          <w:sz w:val="24"/>
          <w:szCs w:val="24"/>
        </w:rPr>
        <w:t xml:space="preserve">: Sítio Novo, Lajeado Novo, Montes Altos, Amarante do Maranhão, Bom Jesus das Selvas, Arame, Buriticupu, Santa Luzia do Tide, Barra do Corda, Jenipapo dos Vieiras, Tuntum, Fernando Falcão, Grajaú, Itaipava do Grajaú, São João do </w:t>
      </w:r>
      <w:proofErr w:type="spellStart"/>
      <w:r w:rsidR="00E82D5D">
        <w:rPr>
          <w:sz w:val="24"/>
          <w:szCs w:val="24"/>
        </w:rPr>
        <w:t>Carú</w:t>
      </w:r>
      <w:proofErr w:type="spellEnd"/>
      <w:r w:rsidR="00E82D5D">
        <w:rPr>
          <w:sz w:val="24"/>
          <w:szCs w:val="24"/>
        </w:rPr>
        <w:t xml:space="preserve">, Bom Jardim, </w:t>
      </w:r>
      <w:proofErr w:type="spellStart"/>
      <w:r w:rsidR="00E82D5D">
        <w:rPr>
          <w:sz w:val="24"/>
          <w:szCs w:val="24"/>
        </w:rPr>
        <w:t>Araguanã</w:t>
      </w:r>
      <w:proofErr w:type="spellEnd"/>
      <w:r w:rsidR="00E82D5D">
        <w:rPr>
          <w:sz w:val="24"/>
          <w:szCs w:val="24"/>
        </w:rPr>
        <w:t xml:space="preserve">, Maranhãozinho, Centro do Guilherme, Santa Luzia do Paruá, Zé Doca e Nova Olinda. </w:t>
      </w:r>
      <w:r w:rsidRPr="00924050">
        <w:rPr>
          <w:sz w:val="24"/>
          <w:szCs w:val="24"/>
        </w:rPr>
        <w:t xml:space="preserve">Conforme o último Censo do IBGE, que será atualizado com os dados de 2022, são mais de 35 mil povos: </w:t>
      </w:r>
      <w:proofErr w:type="spellStart"/>
      <w:r w:rsidRPr="00924050">
        <w:rPr>
          <w:sz w:val="24"/>
          <w:szCs w:val="24"/>
        </w:rPr>
        <w:t>Ka’apor</w:t>
      </w:r>
      <w:proofErr w:type="spellEnd"/>
      <w:r w:rsidRPr="00924050">
        <w:rPr>
          <w:sz w:val="24"/>
          <w:szCs w:val="24"/>
        </w:rPr>
        <w:t xml:space="preserve">, Guajá, </w:t>
      </w:r>
      <w:proofErr w:type="spellStart"/>
      <w:r w:rsidRPr="00924050">
        <w:rPr>
          <w:sz w:val="24"/>
          <w:szCs w:val="24"/>
        </w:rPr>
        <w:t>Tenetehara</w:t>
      </w:r>
      <w:proofErr w:type="spellEnd"/>
      <w:r w:rsidRPr="00924050">
        <w:rPr>
          <w:sz w:val="24"/>
          <w:szCs w:val="24"/>
        </w:rPr>
        <w:t xml:space="preserve">, Timbira, </w:t>
      </w:r>
      <w:proofErr w:type="spellStart"/>
      <w:r w:rsidRPr="00924050">
        <w:rPr>
          <w:sz w:val="24"/>
          <w:szCs w:val="24"/>
        </w:rPr>
        <w:t>Kanela</w:t>
      </w:r>
      <w:proofErr w:type="spellEnd"/>
      <w:r w:rsidRPr="00924050">
        <w:rPr>
          <w:sz w:val="24"/>
          <w:szCs w:val="24"/>
        </w:rPr>
        <w:t xml:space="preserve">, </w:t>
      </w:r>
      <w:proofErr w:type="spellStart"/>
      <w:r w:rsidRPr="00924050">
        <w:rPr>
          <w:sz w:val="24"/>
          <w:szCs w:val="24"/>
        </w:rPr>
        <w:t>Krikati</w:t>
      </w:r>
      <w:proofErr w:type="spellEnd"/>
      <w:r w:rsidRPr="00924050">
        <w:rPr>
          <w:sz w:val="24"/>
          <w:szCs w:val="24"/>
        </w:rPr>
        <w:t xml:space="preserve"> e Gamela.</w:t>
      </w:r>
    </w:p>
    <w:p w:rsidR="00924050" w:rsidRPr="00924050" w:rsidRDefault="00924050" w:rsidP="00924050">
      <w:pPr>
        <w:tabs>
          <w:tab w:val="left" w:pos="3720"/>
        </w:tabs>
        <w:spacing w:after="0" w:line="360" w:lineRule="auto"/>
        <w:ind w:firstLine="851"/>
        <w:jc w:val="both"/>
        <w:rPr>
          <w:sz w:val="24"/>
          <w:szCs w:val="24"/>
        </w:rPr>
      </w:pPr>
      <w:r w:rsidRPr="00924050">
        <w:rPr>
          <w:sz w:val="24"/>
          <w:szCs w:val="24"/>
        </w:rPr>
        <w:t>De acordo com estudo divulgado pela FUNAI</w:t>
      </w:r>
      <w:r w:rsidRPr="00924050">
        <w:rPr>
          <w:sz w:val="24"/>
          <w:szCs w:val="24"/>
          <w:vertAlign w:val="superscript"/>
        </w:rPr>
        <w:footnoteReference w:id="1"/>
      </w:r>
      <w:r w:rsidRPr="00924050">
        <w:rPr>
          <w:sz w:val="24"/>
          <w:szCs w:val="24"/>
        </w:rPr>
        <w:t xml:space="preserve">, os índios </w:t>
      </w:r>
      <w:proofErr w:type="spellStart"/>
      <w:r w:rsidRPr="00924050">
        <w:rPr>
          <w:sz w:val="24"/>
          <w:szCs w:val="24"/>
        </w:rPr>
        <w:t>Ka’apor</w:t>
      </w:r>
      <w:proofErr w:type="spellEnd"/>
      <w:r w:rsidRPr="00924050">
        <w:rPr>
          <w:sz w:val="24"/>
          <w:szCs w:val="24"/>
        </w:rPr>
        <w:t xml:space="preserve"> vivem na terra indígena “Alto Turiaçu” com uma população de 1.929 indivíduos. Seu território está distribuído dentro de seis municípios maranhenses (</w:t>
      </w:r>
      <w:proofErr w:type="spellStart"/>
      <w:r w:rsidRPr="00924050">
        <w:rPr>
          <w:sz w:val="24"/>
          <w:szCs w:val="24"/>
        </w:rPr>
        <w:t>Araguanã</w:t>
      </w:r>
      <w:proofErr w:type="spellEnd"/>
      <w:r w:rsidRPr="00924050">
        <w:rPr>
          <w:sz w:val="24"/>
          <w:szCs w:val="24"/>
        </w:rPr>
        <w:t>, Centro do Guilherme, Centro Novo do Maranhão</w:t>
      </w:r>
      <w:r w:rsidR="00E82D5D">
        <w:rPr>
          <w:rStyle w:val="Refdenotaderodap"/>
          <w:sz w:val="24"/>
          <w:szCs w:val="24"/>
        </w:rPr>
        <w:footnoteReference w:id="2"/>
      </w:r>
      <w:r w:rsidRPr="00924050">
        <w:rPr>
          <w:sz w:val="24"/>
          <w:szCs w:val="24"/>
        </w:rPr>
        <w:t xml:space="preserve">, Maranhãozinho, Santa Luzia do Paruá e Zé Doca); </w:t>
      </w:r>
    </w:p>
    <w:p w:rsidR="00924050" w:rsidRPr="00924050" w:rsidRDefault="00924050" w:rsidP="00924050">
      <w:pPr>
        <w:tabs>
          <w:tab w:val="left" w:pos="3720"/>
        </w:tabs>
        <w:spacing w:after="0" w:line="360" w:lineRule="auto"/>
        <w:ind w:firstLine="851"/>
        <w:jc w:val="both"/>
        <w:rPr>
          <w:sz w:val="24"/>
          <w:szCs w:val="24"/>
        </w:rPr>
      </w:pPr>
      <w:r w:rsidRPr="00924050">
        <w:rPr>
          <w:sz w:val="24"/>
          <w:szCs w:val="24"/>
        </w:rPr>
        <w:t xml:space="preserve">A população da etnia Guajá está dividida em três terras indígenas: </w:t>
      </w:r>
      <w:proofErr w:type="spellStart"/>
      <w:r w:rsidRPr="00924050">
        <w:rPr>
          <w:sz w:val="24"/>
          <w:szCs w:val="24"/>
        </w:rPr>
        <w:t>Arariboia</w:t>
      </w:r>
      <w:proofErr w:type="spellEnd"/>
      <w:r w:rsidRPr="00924050">
        <w:rPr>
          <w:sz w:val="24"/>
          <w:szCs w:val="24"/>
        </w:rPr>
        <w:t xml:space="preserve">, </w:t>
      </w:r>
      <w:proofErr w:type="spellStart"/>
      <w:r w:rsidRPr="00924050">
        <w:rPr>
          <w:sz w:val="24"/>
          <w:szCs w:val="24"/>
        </w:rPr>
        <w:t>Awa</w:t>
      </w:r>
      <w:proofErr w:type="spellEnd"/>
      <w:r w:rsidRPr="00924050">
        <w:rPr>
          <w:sz w:val="24"/>
          <w:szCs w:val="24"/>
        </w:rPr>
        <w:t xml:space="preserve"> e </w:t>
      </w:r>
      <w:proofErr w:type="spellStart"/>
      <w:r w:rsidRPr="00924050">
        <w:rPr>
          <w:sz w:val="24"/>
          <w:szCs w:val="24"/>
        </w:rPr>
        <w:t>Bacurizinho</w:t>
      </w:r>
      <w:proofErr w:type="spellEnd"/>
      <w:r w:rsidRPr="00924050">
        <w:rPr>
          <w:sz w:val="24"/>
          <w:szCs w:val="24"/>
        </w:rPr>
        <w:t xml:space="preserve">. No total, são 11.193 índios registrados pelo Censo de 2010 vivendo nestas regiões. Seu território chega a ocupar terras de dez municípios: </w:t>
      </w:r>
      <w:proofErr w:type="spellStart"/>
      <w:r w:rsidRPr="00924050">
        <w:rPr>
          <w:sz w:val="24"/>
          <w:szCs w:val="24"/>
        </w:rPr>
        <w:t>Arariboia</w:t>
      </w:r>
      <w:proofErr w:type="spellEnd"/>
      <w:r w:rsidRPr="00924050">
        <w:rPr>
          <w:sz w:val="24"/>
          <w:szCs w:val="24"/>
        </w:rPr>
        <w:t xml:space="preserve"> (Amarante do Maranhão, Arame, Bom Jesus das Selvas, Buriticupu, Grajaú e Santa </w:t>
      </w:r>
      <w:r w:rsidRPr="00924050">
        <w:rPr>
          <w:sz w:val="24"/>
          <w:szCs w:val="24"/>
        </w:rPr>
        <w:lastRenderedPageBreak/>
        <w:t xml:space="preserve">Luzia); </w:t>
      </w:r>
      <w:proofErr w:type="spellStart"/>
      <w:r w:rsidRPr="00924050">
        <w:rPr>
          <w:sz w:val="24"/>
          <w:szCs w:val="24"/>
        </w:rPr>
        <w:t>Awa</w:t>
      </w:r>
      <w:proofErr w:type="spellEnd"/>
      <w:r w:rsidRPr="00924050">
        <w:rPr>
          <w:sz w:val="24"/>
          <w:szCs w:val="24"/>
        </w:rPr>
        <w:t xml:space="preserve"> (Centro Novo do Maranhão, Governador Newton </w:t>
      </w:r>
      <w:proofErr w:type="spellStart"/>
      <w:r w:rsidRPr="00924050">
        <w:rPr>
          <w:sz w:val="24"/>
          <w:szCs w:val="24"/>
        </w:rPr>
        <w:t>Bello</w:t>
      </w:r>
      <w:proofErr w:type="spellEnd"/>
      <w:r w:rsidRPr="00924050">
        <w:rPr>
          <w:sz w:val="24"/>
          <w:szCs w:val="24"/>
        </w:rPr>
        <w:t xml:space="preserve">, São João do </w:t>
      </w:r>
      <w:proofErr w:type="spellStart"/>
      <w:r w:rsidRPr="00924050">
        <w:rPr>
          <w:sz w:val="24"/>
          <w:szCs w:val="24"/>
        </w:rPr>
        <w:t>Carú</w:t>
      </w:r>
      <w:proofErr w:type="spellEnd"/>
      <w:r w:rsidRPr="00924050">
        <w:rPr>
          <w:sz w:val="24"/>
          <w:szCs w:val="24"/>
        </w:rPr>
        <w:t xml:space="preserve"> e Zé Doca) e </w:t>
      </w:r>
      <w:proofErr w:type="spellStart"/>
      <w:r w:rsidRPr="00924050">
        <w:rPr>
          <w:sz w:val="24"/>
          <w:szCs w:val="24"/>
        </w:rPr>
        <w:t>Bacurizinho</w:t>
      </w:r>
      <w:proofErr w:type="spellEnd"/>
      <w:r w:rsidRPr="00924050">
        <w:rPr>
          <w:sz w:val="24"/>
          <w:szCs w:val="24"/>
        </w:rPr>
        <w:t xml:space="preserve"> (Grajaú);</w:t>
      </w:r>
    </w:p>
    <w:p w:rsidR="00924050" w:rsidRPr="00924050" w:rsidRDefault="00924050" w:rsidP="00924050">
      <w:pPr>
        <w:tabs>
          <w:tab w:val="left" w:pos="3720"/>
        </w:tabs>
        <w:spacing w:after="0" w:line="360" w:lineRule="auto"/>
        <w:ind w:firstLine="851"/>
        <w:jc w:val="both"/>
        <w:rPr>
          <w:sz w:val="24"/>
          <w:szCs w:val="24"/>
        </w:rPr>
      </w:pPr>
      <w:r w:rsidRPr="00924050">
        <w:rPr>
          <w:sz w:val="24"/>
          <w:szCs w:val="24"/>
        </w:rPr>
        <w:t xml:space="preserve">Os </w:t>
      </w:r>
      <w:proofErr w:type="spellStart"/>
      <w:r w:rsidRPr="00924050">
        <w:rPr>
          <w:sz w:val="24"/>
          <w:szCs w:val="24"/>
        </w:rPr>
        <w:t>Tenetehara</w:t>
      </w:r>
      <w:proofErr w:type="spellEnd"/>
      <w:r w:rsidRPr="00924050">
        <w:rPr>
          <w:sz w:val="24"/>
          <w:szCs w:val="24"/>
        </w:rPr>
        <w:t xml:space="preserve"> são os indígenas que mais tem terras regularizadas no Maranhão com o total de oito. A população registrada desta etnia chega a 12.248 pessoas e os índios chegam a contemplar oito municípios: Cana Brava (Barão de Grajaú, Barra do Corda, Jenipapo dos Vieiras); </w:t>
      </w:r>
      <w:proofErr w:type="spellStart"/>
      <w:r w:rsidRPr="00924050">
        <w:rPr>
          <w:sz w:val="24"/>
          <w:szCs w:val="24"/>
        </w:rPr>
        <w:t>Caru</w:t>
      </w:r>
      <w:proofErr w:type="spellEnd"/>
      <w:r w:rsidRPr="00924050">
        <w:rPr>
          <w:sz w:val="24"/>
          <w:szCs w:val="24"/>
        </w:rPr>
        <w:t xml:space="preserve"> (Bom Jardim); Governador (Amarante do Maranhão); Lagoa Comprida (Itaipava do Grajaú e Jenipapo dos Vieiras); Morro Branco (Grajaú); Rio Pindaré (Bom Jardim e Monção); </w:t>
      </w:r>
      <w:proofErr w:type="spellStart"/>
      <w:r w:rsidRPr="00924050">
        <w:rPr>
          <w:sz w:val="24"/>
          <w:szCs w:val="24"/>
        </w:rPr>
        <w:t>Rodeador</w:t>
      </w:r>
      <w:proofErr w:type="spellEnd"/>
      <w:r w:rsidRPr="00924050">
        <w:rPr>
          <w:sz w:val="24"/>
          <w:szCs w:val="24"/>
        </w:rPr>
        <w:t xml:space="preserve"> (Barra do Corda); e Urucu (Itaipava do Grajaú). Vale ressaltar que nas terras indígenas Governador, os </w:t>
      </w:r>
      <w:proofErr w:type="spellStart"/>
      <w:r w:rsidRPr="00924050">
        <w:rPr>
          <w:sz w:val="24"/>
          <w:szCs w:val="24"/>
        </w:rPr>
        <w:t>Tenetehara</w:t>
      </w:r>
      <w:proofErr w:type="spellEnd"/>
      <w:r w:rsidRPr="00924050">
        <w:rPr>
          <w:sz w:val="24"/>
          <w:szCs w:val="24"/>
        </w:rPr>
        <w:t xml:space="preserve"> estão mesclados com a etnia Gavião </w:t>
      </w:r>
      <w:proofErr w:type="spellStart"/>
      <w:r w:rsidRPr="00924050">
        <w:rPr>
          <w:sz w:val="24"/>
          <w:szCs w:val="24"/>
        </w:rPr>
        <w:t>Pukobiê</w:t>
      </w:r>
      <w:proofErr w:type="spellEnd"/>
      <w:r w:rsidRPr="00924050">
        <w:rPr>
          <w:sz w:val="24"/>
          <w:szCs w:val="24"/>
        </w:rPr>
        <w:t>;</w:t>
      </w:r>
    </w:p>
    <w:p w:rsidR="00924050" w:rsidRPr="00924050" w:rsidRDefault="00924050" w:rsidP="00924050">
      <w:pPr>
        <w:tabs>
          <w:tab w:val="left" w:pos="3720"/>
        </w:tabs>
        <w:spacing w:after="0" w:line="360" w:lineRule="auto"/>
        <w:ind w:firstLine="851"/>
        <w:jc w:val="both"/>
        <w:rPr>
          <w:sz w:val="24"/>
          <w:szCs w:val="24"/>
        </w:rPr>
      </w:pPr>
      <w:r w:rsidRPr="00924050">
        <w:rPr>
          <w:sz w:val="24"/>
          <w:szCs w:val="24"/>
        </w:rPr>
        <w:t xml:space="preserve">Já os Timbiras, uma das mais conhecidas etnias indígenas do Maranhão tem uma população reduzida no estado com apenas 163 indivíduos registrados no Censo. Os indígenas vivem na terra de Geralda Toco Preto (Arame e Itaipava do Grajaú). Eles também reivindicam para si uma terra chamada de </w:t>
      </w:r>
      <w:proofErr w:type="spellStart"/>
      <w:r w:rsidRPr="00924050">
        <w:rPr>
          <w:sz w:val="24"/>
          <w:szCs w:val="24"/>
        </w:rPr>
        <w:t>Krenyê</w:t>
      </w:r>
      <w:proofErr w:type="spellEnd"/>
      <w:r w:rsidRPr="00924050">
        <w:rPr>
          <w:sz w:val="24"/>
          <w:szCs w:val="24"/>
        </w:rPr>
        <w:t xml:space="preserve"> (Barra do Corda e Vitorino Freire);</w:t>
      </w:r>
    </w:p>
    <w:p w:rsidR="00924050" w:rsidRPr="00924050" w:rsidRDefault="00924050" w:rsidP="00924050">
      <w:pPr>
        <w:tabs>
          <w:tab w:val="left" w:pos="3720"/>
        </w:tabs>
        <w:spacing w:after="0" w:line="360" w:lineRule="auto"/>
        <w:ind w:firstLine="851"/>
        <w:jc w:val="both"/>
        <w:rPr>
          <w:sz w:val="24"/>
          <w:szCs w:val="24"/>
        </w:rPr>
      </w:pPr>
      <w:r w:rsidRPr="00924050">
        <w:rPr>
          <w:sz w:val="24"/>
          <w:szCs w:val="24"/>
        </w:rPr>
        <w:t xml:space="preserve">Os indígenas da etnia </w:t>
      </w:r>
      <w:proofErr w:type="spellStart"/>
      <w:r w:rsidRPr="00924050">
        <w:rPr>
          <w:sz w:val="24"/>
          <w:szCs w:val="24"/>
        </w:rPr>
        <w:t>Kanela</w:t>
      </w:r>
      <w:proofErr w:type="spellEnd"/>
      <w:r w:rsidRPr="00924050">
        <w:rPr>
          <w:sz w:val="24"/>
          <w:szCs w:val="24"/>
        </w:rPr>
        <w:t xml:space="preserve"> tem uma população de 4465 pessoas que vivem na terra indígena de </w:t>
      </w:r>
      <w:proofErr w:type="spellStart"/>
      <w:r w:rsidRPr="00924050">
        <w:rPr>
          <w:sz w:val="24"/>
          <w:szCs w:val="24"/>
        </w:rPr>
        <w:t>Kanela</w:t>
      </w:r>
      <w:proofErr w:type="spellEnd"/>
      <w:r w:rsidRPr="00924050">
        <w:rPr>
          <w:sz w:val="24"/>
          <w:szCs w:val="24"/>
        </w:rPr>
        <w:t xml:space="preserve"> (Barra do Corda e Fernando Falcão) e Porquinhos (Barra do Corda e Fernando Falcão). Além das duas terras regularizadas, os </w:t>
      </w:r>
      <w:proofErr w:type="spellStart"/>
      <w:r w:rsidRPr="00924050">
        <w:rPr>
          <w:sz w:val="24"/>
          <w:szCs w:val="24"/>
        </w:rPr>
        <w:t>Kanela</w:t>
      </w:r>
      <w:proofErr w:type="spellEnd"/>
      <w:r w:rsidRPr="00924050">
        <w:rPr>
          <w:sz w:val="24"/>
          <w:szCs w:val="24"/>
        </w:rPr>
        <w:t xml:space="preserve"> ainda estão em processo para ter mais dois territórios seus: </w:t>
      </w:r>
      <w:proofErr w:type="spellStart"/>
      <w:r w:rsidRPr="00924050">
        <w:rPr>
          <w:sz w:val="24"/>
          <w:szCs w:val="24"/>
        </w:rPr>
        <w:t>Kanela</w:t>
      </w:r>
      <w:proofErr w:type="spellEnd"/>
      <w:r w:rsidRPr="00924050">
        <w:rPr>
          <w:sz w:val="24"/>
          <w:szCs w:val="24"/>
        </w:rPr>
        <w:t xml:space="preserve"> </w:t>
      </w:r>
      <w:proofErr w:type="spellStart"/>
      <w:r w:rsidRPr="00924050">
        <w:rPr>
          <w:sz w:val="24"/>
          <w:szCs w:val="24"/>
        </w:rPr>
        <w:t>Memortumré</w:t>
      </w:r>
      <w:proofErr w:type="spellEnd"/>
      <w:r w:rsidRPr="00924050">
        <w:rPr>
          <w:sz w:val="24"/>
          <w:szCs w:val="24"/>
        </w:rPr>
        <w:t xml:space="preserve"> (Barra do Corda e Fernando Falcão) e Porquinhos dos Canela-</w:t>
      </w:r>
      <w:proofErr w:type="spellStart"/>
      <w:r w:rsidRPr="00924050">
        <w:rPr>
          <w:sz w:val="24"/>
          <w:szCs w:val="24"/>
        </w:rPr>
        <w:t>Apãnjekra</w:t>
      </w:r>
      <w:proofErr w:type="spellEnd"/>
      <w:r w:rsidRPr="00924050">
        <w:rPr>
          <w:sz w:val="24"/>
          <w:szCs w:val="24"/>
        </w:rPr>
        <w:t xml:space="preserve"> (Barra do Corda, Fernando Falcão, Formosa da Serra Negra e Mirador);</w:t>
      </w:r>
    </w:p>
    <w:p w:rsidR="00924050" w:rsidRPr="00924050" w:rsidRDefault="00924050" w:rsidP="00924050">
      <w:pPr>
        <w:tabs>
          <w:tab w:val="left" w:pos="3720"/>
        </w:tabs>
        <w:spacing w:after="0" w:line="360" w:lineRule="auto"/>
        <w:ind w:firstLine="851"/>
        <w:jc w:val="both"/>
        <w:rPr>
          <w:sz w:val="24"/>
          <w:szCs w:val="24"/>
        </w:rPr>
      </w:pPr>
      <w:r w:rsidRPr="00924050">
        <w:rPr>
          <w:sz w:val="24"/>
          <w:szCs w:val="24"/>
        </w:rPr>
        <w:t xml:space="preserve">Os indígenas </w:t>
      </w:r>
      <w:proofErr w:type="spellStart"/>
      <w:r w:rsidRPr="00924050">
        <w:rPr>
          <w:sz w:val="24"/>
          <w:szCs w:val="24"/>
        </w:rPr>
        <w:t>Krikati</w:t>
      </w:r>
      <w:proofErr w:type="spellEnd"/>
      <w:r w:rsidRPr="00924050">
        <w:rPr>
          <w:sz w:val="24"/>
          <w:szCs w:val="24"/>
        </w:rPr>
        <w:t xml:space="preserve"> vivem na terra indígena de mesmo nome e tem uma população de 1700 indivíduos distribuídos em seu território que abrange quatro municípios maranhenses (Amarante do Maranhão, Lajeado Novo, Montes Altos e Sítio Novo);</w:t>
      </w:r>
    </w:p>
    <w:p w:rsidR="00924050" w:rsidRPr="00924050" w:rsidRDefault="00924050" w:rsidP="00924050">
      <w:pPr>
        <w:tabs>
          <w:tab w:val="left" w:pos="3720"/>
        </w:tabs>
        <w:spacing w:after="0" w:line="360" w:lineRule="auto"/>
        <w:ind w:firstLine="851"/>
        <w:jc w:val="both"/>
        <w:rPr>
          <w:sz w:val="24"/>
          <w:szCs w:val="24"/>
        </w:rPr>
      </w:pPr>
      <w:r w:rsidRPr="00924050">
        <w:rPr>
          <w:sz w:val="24"/>
          <w:szCs w:val="24"/>
        </w:rPr>
        <w:t>Por fim, os indígenas Gamela ainda não possuem terra regularizada pela Funai. Atualmente a terra de “</w:t>
      </w:r>
      <w:proofErr w:type="spellStart"/>
      <w:r w:rsidRPr="00924050">
        <w:rPr>
          <w:sz w:val="24"/>
          <w:szCs w:val="24"/>
        </w:rPr>
        <w:t>Taquaritiua</w:t>
      </w:r>
      <w:proofErr w:type="spellEnd"/>
      <w:r w:rsidRPr="00924050">
        <w:rPr>
          <w:sz w:val="24"/>
          <w:szCs w:val="24"/>
        </w:rPr>
        <w:t>” ainda está em fase de estudo e seu território abrangeria parte dos municípios de Viana, Penalva e Matinha.</w:t>
      </w:r>
    </w:p>
    <w:p w:rsidR="00924050" w:rsidRPr="00924050" w:rsidRDefault="00924050" w:rsidP="00924050">
      <w:pPr>
        <w:tabs>
          <w:tab w:val="left" w:pos="3720"/>
        </w:tabs>
        <w:spacing w:after="0" w:line="360" w:lineRule="auto"/>
        <w:ind w:firstLine="851"/>
        <w:jc w:val="both"/>
        <w:rPr>
          <w:sz w:val="24"/>
          <w:szCs w:val="24"/>
        </w:rPr>
      </w:pPr>
    </w:p>
    <w:p w:rsidR="00924050" w:rsidRPr="00924050" w:rsidRDefault="00924050" w:rsidP="00924050">
      <w:pPr>
        <w:tabs>
          <w:tab w:val="left" w:pos="3720"/>
        </w:tabs>
        <w:spacing w:after="0" w:line="360" w:lineRule="auto"/>
        <w:ind w:firstLine="851"/>
        <w:jc w:val="both"/>
        <w:rPr>
          <w:b/>
          <w:bCs/>
          <w:sz w:val="24"/>
          <w:szCs w:val="24"/>
          <w:u w:val="single"/>
        </w:rPr>
      </w:pPr>
      <w:r w:rsidRPr="00924050">
        <w:rPr>
          <w:b/>
          <w:bCs/>
          <w:sz w:val="24"/>
          <w:szCs w:val="24"/>
          <w:u w:val="single"/>
        </w:rPr>
        <w:t>OUTRAS EXPERIÊNCIAS</w:t>
      </w:r>
    </w:p>
    <w:p w:rsidR="00924050" w:rsidRPr="00924050" w:rsidRDefault="00924050" w:rsidP="00924050">
      <w:pPr>
        <w:tabs>
          <w:tab w:val="left" w:pos="3720"/>
        </w:tabs>
        <w:spacing w:after="0" w:line="360" w:lineRule="auto"/>
        <w:ind w:firstLine="851"/>
        <w:jc w:val="both"/>
        <w:rPr>
          <w:b/>
          <w:bCs/>
          <w:sz w:val="24"/>
          <w:szCs w:val="24"/>
          <w:u w:val="single"/>
        </w:rPr>
      </w:pPr>
    </w:p>
    <w:p w:rsidR="00924050" w:rsidRPr="00924050" w:rsidRDefault="00924050" w:rsidP="00924050">
      <w:pPr>
        <w:tabs>
          <w:tab w:val="left" w:pos="3720"/>
        </w:tabs>
        <w:spacing w:after="0" w:line="360" w:lineRule="auto"/>
        <w:ind w:firstLine="851"/>
        <w:jc w:val="both"/>
        <w:rPr>
          <w:sz w:val="24"/>
          <w:szCs w:val="24"/>
        </w:rPr>
      </w:pPr>
      <w:r w:rsidRPr="00924050">
        <w:rPr>
          <w:sz w:val="24"/>
          <w:szCs w:val="24"/>
        </w:rPr>
        <w:t>No Maranhão há na estrutura administrativa municipal, em dezenas de cidades, a secretaria de Assuntos Indígenas, como por exemplo em Barra do Corda</w:t>
      </w:r>
      <w:r w:rsidR="00E82D5D">
        <w:rPr>
          <w:sz w:val="24"/>
          <w:szCs w:val="24"/>
        </w:rPr>
        <w:t xml:space="preserve"> e</w:t>
      </w:r>
      <w:r w:rsidRPr="00924050">
        <w:rPr>
          <w:sz w:val="24"/>
          <w:szCs w:val="24"/>
        </w:rPr>
        <w:t xml:space="preserve"> Fernando Falcão. Ademais, essa estrutura é contemplada em governos estaduais, como nos Governos do Amapá, Roraima e, recentemente, no Pará. Também no Maranhão, há a Secretaria Adjunta dos Direitos dos Povos Indígenas, criada na SEDIHPOP, em 2022. Requer, assim, o desmembramento da secretaria adjunta, dando autonomia à nova pasta. </w:t>
      </w:r>
    </w:p>
    <w:p w:rsidR="00924050" w:rsidRPr="00924050" w:rsidRDefault="00924050" w:rsidP="00924050">
      <w:pPr>
        <w:tabs>
          <w:tab w:val="left" w:pos="3720"/>
        </w:tabs>
        <w:spacing w:after="0" w:line="360" w:lineRule="auto"/>
        <w:ind w:firstLine="851"/>
        <w:jc w:val="both"/>
        <w:rPr>
          <w:sz w:val="24"/>
          <w:szCs w:val="24"/>
        </w:rPr>
      </w:pPr>
      <w:r w:rsidRPr="00924050">
        <w:rPr>
          <w:sz w:val="24"/>
          <w:szCs w:val="24"/>
        </w:rPr>
        <w:t xml:space="preserve">Como foi amplamente divulgado pela mídia nacional e regional, no início da nova gestão do Governo Federal, o Presidente da República Luís Inácio Lula da Silva (PT), criou o </w:t>
      </w:r>
      <w:r w:rsidRPr="00924050">
        <w:rPr>
          <w:i/>
          <w:iCs/>
          <w:sz w:val="24"/>
          <w:szCs w:val="24"/>
        </w:rPr>
        <w:t xml:space="preserve">Ministério dos Povos Indígenas, </w:t>
      </w:r>
      <w:r w:rsidRPr="00924050">
        <w:rPr>
          <w:sz w:val="24"/>
          <w:szCs w:val="24"/>
        </w:rPr>
        <w:t xml:space="preserve">com o objetivo de proporcionar atenção personalizada, com políticas públicas efetivas e eficientes à Comunidade Indígena do Brasil. </w:t>
      </w:r>
    </w:p>
    <w:p w:rsidR="00924050" w:rsidRPr="00924050" w:rsidRDefault="00924050" w:rsidP="00924050">
      <w:pPr>
        <w:tabs>
          <w:tab w:val="left" w:pos="3720"/>
        </w:tabs>
        <w:spacing w:after="0" w:line="360" w:lineRule="auto"/>
        <w:ind w:firstLine="851"/>
        <w:jc w:val="both"/>
        <w:rPr>
          <w:sz w:val="24"/>
          <w:szCs w:val="24"/>
        </w:rPr>
      </w:pPr>
      <w:r w:rsidRPr="00924050">
        <w:rPr>
          <w:sz w:val="24"/>
          <w:szCs w:val="24"/>
        </w:rPr>
        <w:t>Para favorecer uma maior assistência aos povos indígenas, promovendo sua cultura e tradição, o que enriquecerá ainda mais a cultura do próprio estado do Maranhão, é que se requer, junto ao Executivo Estadual, a criação da Secretaria Estadual dos Povos Indígenas, o que possibilitará a celebração de convênios com o Governo Federal para políticas públicas, em todos os setores, promovendo a dignidade dos Povos Indígenas.</w:t>
      </w:r>
    </w:p>
    <w:p w:rsidR="00924050" w:rsidRPr="00924050" w:rsidRDefault="00924050" w:rsidP="00924050">
      <w:pPr>
        <w:tabs>
          <w:tab w:val="left" w:pos="3720"/>
        </w:tabs>
        <w:spacing w:after="0" w:line="360" w:lineRule="auto"/>
        <w:ind w:firstLine="851"/>
        <w:jc w:val="both"/>
        <w:rPr>
          <w:sz w:val="24"/>
          <w:szCs w:val="24"/>
        </w:rPr>
      </w:pPr>
      <w:r w:rsidRPr="00924050">
        <w:rPr>
          <w:sz w:val="24"/>
          <w:szCs w:val="24"/>
        </w:rPr>
        <w:t xml:space="preserve">Para construirmos uma sociedade forte, precisamos da força de todos os povos. Assim, é imprescindível a criação desta secretaria estadual para promover não só a dignidade dos povos indígenas, mas a sua integração com os demais povos da nossa sociedade. Integrar, respeitando as diferenças e promovendo as tradições de cada povo. </w:t>
      </w:r>
    </w:p>
    <w:p w:rsidR="00924050" w:rsidRPr="00924050" w:rsidRDefault="00924050" w:rsidP="00924050">
      <w:pPr>
        <w:tabs>
          <w:tab w:val="left" w:pos="3720"/>
        </w:tabs>
        <w:jc w:val="both"/>
        <w:rPr>
          <w:sz w:val="24"/>
          <w:szCs w:val="24"/>
        </w:rPr>
      </w:pPr>
    </w:p>
    <w:p w:rsidR="00E82D5D" w:rsidRDefault="00E82D5D" w:rsidP="00924050">
      <w:pPr>
        <w:tabs>
          <w:tab w:val="left" w:pos="3720"/>
        </w:tabs>
        <w:jc w:val="both"/>
        <w:rPr>
          <w:iCs/>
          <w:sz w:val="20"/>
          <w:szCs w:val="20"/>
        </w:rPr>
      </w:pPr>
    </w:p>
    <w:p w:rsidR="00E82D5D" w:rsidRDefault="00E82D5D" w:rsidP="00924050">
      <w:pPr>
        <w:tabs>
          <w:tab w:val="left" w:pos="3720"/>
        </w:tabs>
        <w:jc w:val="both"/>
        <w:rPr>
          <w:iCs/>
          <w:sz w:val="20"/>
          <w:szCs w:val="20"/>
        </w:rPr>
      </w:pPr>
    </w:p>
    <w:p w:rsidR="00924050" w:rsidRPr="00924050" w:rsidRDefault="00924050" w:rsidP="00924050">
      <w:pPr>
        <w:tabs>
          <w:tab w:val="left" w:pos="3720"/>
        </w:tabs>
        <w:jc w:val="both"/>
        <w:rPr>
          <w:iCs/>
          <w:sz w:val="20"/>
          <w:szCs w:val="20"/>
        </w:rPr>
      </w:pPr>
      <w:r w:rsidRPr="00924050">
        <w:rPr>
          <w:iCs/>
          <w:sz w:val="20"/>
          <w:szCs w:val="20"/>
        </w:rPr>
        <w:lastRenderedPageBreak/>
        <w:t>REFERÊNCIAS:</w:t>
      </w:r>
    </w:p>
    <w:p w:rsidR="00924050" w:rsidRPr="00924050" w:rsidRDefault="00924050" w:rsidP="00924050">
      <w:pPr>
        <w:tabs>
          <w:tab w:val="left" w:pos="3720"/>
        </w:tabs>
        <w:jc w:val="both"/>
        <w:rPr>
          <w:sz w:val="20"/>
          <w:szCs w:val="20"/>
        </w:rPr>
      </w:pPr>
      <w:r w:rsidRPr="00924050">
        <w:rPr>
          <w:iCs/>
          <w:sz w:val="20"/>
          <w:szCs w:val="20"/>
        </w:rPr>
        <w:t xml:space="preserve">Coelho, Vanessa; Cardoso, Gabriel N; </w:t>
      </w:r>
      <w:proofErr w:type="spellStart"/>
      <w:r w:rsidRPr="00924050">
        <w:rPr>
          <w:iCs/>
          <w:sz w:val="20"/>
          <w:szCs w:val="20"/>
        </w:rPr>
        <w:t>Herbetta</w:t>
      </w:r>
      <w:proofErr w:type="spellEnd"/>
      <w:r w:rsidRPr="00924050">
        <w:rPr>
          <w:iCs/>
          <w:sz w:val="20"/>
          <w:szCs w:val="20"/>
        </w:rPr>
        <w:t xml:space="preserve">, Alexandre; </w:t>
      </w:r>
      <w:proofErr w:type="spellStart"/>
      <w:r w:rsidRPr="00924050">
        <w:rPr>
          <w:iCs/>
          <w:sz w:val="20"/>
          <w:szCs w:val="20"/>
        </w:rPr>
        <w:t>Durazzo</w:t>
      </w:r>
      <w:proofErr w:type="spellEnd"/>
      <w:r w:rsidRPr="00924050">
        <w:rPr>
          <w:iCs/>
          <w:sz w:val="20"/>
          <w:szCs w:val="20"/>
        </w:rPr>
        <w:t>, Leandro. </w:t>
      </w:r>
      <w:hyperlink r:id="rId7" w:history="1">
        <w:r w:rsidRPr="00924050">
          <w:rPr>
            <w:rStyle w:val="Hyperlink"/>
            <w:iCs/>
            <w:color w:val="auto"/>
            <w:sz w:val="20"/>
            <w:szCs w:val="20"/>
          </w:rPr>
          <w:t>«Dossiê Etnologia Indígena do Nordeste»</w:t>
        </w:r>
      </w:hyperlink>
      <w:r w:rsidRPr="00924050">
        <w:rPr>
          <w:iCs/>
          <w:sz w:val="20"/>
          <w:szCs w:val="20"/>
        </w:rPr>
        <w:t>. Equatorial Revista do Programa de Pós-Graduação em Antropologia Social da UFRN. Consultado em 21 de novembro de 2021</w:t>
      </w:r>
    </w:p>
    <w:p w:rsidR="00924050" w:rsidRPr="00924050" w:rsidRDefault="00924050" w:rsidP="00924050">
      <w:pPr>
        <w:tabs>
          <w:tab w:val="left" w:pos="3720"/>
        </w:tabs>
        <w:jc w:val="both"/>
        <w:rPr>
          <w:sz w:val="20"/>
          <w:szCs w:val="20"/>
        </w:rPr>
      </w:pPr>
      <w:r w:rsidRPr="00924050">
        <w:rPr>
          <w:i/>
          <w:iCs/>
          <w:sz w:val="20"/>
          <w:szCs w:val="20"/>
        </w:rPr>
        <w:t>Carlos Eduardo Penha Everton; Marinete Moura da Silva Lobo. «INSTITUTO FEDERAL DO    MARANHÃO». Temas Indígenas: Diálogos Interculturais no IFMA Campus Barra do Corda</w:t>
      </w:r>
    </w:p>
    <w:p w:rsidR="00924050" w:rsidRPr="00924050" w:rsidRDefault="00924050" w:rsidP="00924050">
      <w:pPr>
        <w:tabs>
          <w:tab w:val="left" w:pos="3720"/>
        </w:tabs>
        <w:jc w:val="both"/>
        <w:rPr>
          <w:sz w:val="20"/>
          <w:szCs w:val="20"/>
        </w:rPr>
      </w:pPr>
      <w:r w:rsidRPr="00924050">
        <w:rPr>
          <w:sz w:val="20"/>
          <w:szCs w:val="20"/>
        </w:rPr>
        <w:t xml:space="preserve">OLIVEIRA, Adalberto Luiz Rizzo de. </w:t>
      </w:r>
      <w:proofErr w:type="spellStart"/>
      <w:r w:rsidRPr="00924050">
        <w:rPr>
          <w:sz w:val="20"/>
          <w:szCs w:val="20"/>
        </w:rPr>
        <w:t>Ramkokamekra</w:t>
      </w:r>
      <w:proofErr w:type="spellEnd"/>
      <w:r w:rsidRPr="00924050">
        <w:rPr>
          <w:sz w:val="20"/>
          <w:szCs w:val="20"/>
        </w:rPr>
        <w:t xml:space="preserve">-Canela: dominação e resistência de um povo Timbira no </w:t>
      </w:r>
      <w:proofErr w:type="spellStart"/>
      <w:r w:rsidRPr="00924050">
        <w:rPr>
          <w:sz w:val="20"/>
          <w:szCs w:val="20"/>
        </w:rPr>
        <w:t>Centro-este</w:t>
      </w:r>
      <w:proofErr w:type="spellEnd"/>
      <w:r w:rsidRPr="00924050">
        <w:rPr>
          <w:sz w:val="20"/>
          <w:szCs w:val="20"/>
        </w:rPr>
        <w:t xml:space="preserve"> Maranhense. Campinas: Unicamp, 2002. (Dissertação de Mestrado) </w:t>
      </w:r>
    </w:p>
    <w:p w:rsidR="00924050" w:rsidRPr="00924050" w:rsidRDefault="00924050" w:rsidP="00924050">
      <w:pPr>
        <w:tabs>
          <w:tab w:val="left" w:pos="3720"/>
        </w:tabs>
        <w:jc w:val="both"/>
        <w:rPr>
          <w:sz w:val="24"/>
          <w:szCs w:val="24"/>
        </w:rPr>
      </w:pPr>
    </w:p>
    <w:sectPr w:rsidR="00924050" w:rsidRPr="00924050">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61EE" w:rsidRDefault="003761EE" w:rsidP="00924050">
      <w:pPr>
        <w:spacing w:after="0" w:line="240" w:lineRule="auto"/>
      </w:pPr>
      <w:r>
        <w:separator/>
      </w:r>
    </w:p>
  </w:endnote>
  <w:endnote w:type="continuationSeparator" w:id="0">
    <w:p w:rsidR="003761EE" w:rsidRDefault="003761EE" w:rsidP="00924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61EE" w:rsidRDefault="003761EE" w:rsidP="00924050">
      <w:pPr>
        <w:spacing w:after="0" w:line="240" w:lineRule="auto"/>
      </w:pPr>
      <w:r>
        <w:separator/>
      </w:r>
    </w:p>
  </w:footnote>
  <w:footnote w:type="continuationSeparator" w:id="0">
    <w:p w:rsidR="003761EE" w:rsidRDefault="003761EE" w:rsidP="00924050">
      <w:pPr>
        <w:spacing w:after="0" w:line="240" w:lineRule="auto"/>
      </w:pPr>
      <w:r>
        <w:continuationSeparator/>
      </w:r>
    </w:p>
  </w:footnote>
  <w:footnote w:id="1">
    <w:p w:rsidR="00924050" w:rsidRDefault="00924050" w:rsidP="00924050">
      <w:pPr>
        <w:pStyle w:val="Textodenotaderodap"/>
      </w:pPr>
      <w:r>
        <w:rPr>
          <w:rStyle w:val="Refdenotaderodap"/>
        </w:rPr>
        <w:footnoteRef/>
      </w:r>
      <w:r>
        <w:t xml:space="preserve"> Disponível em: </w:t>
      </w:r>
      <w:hyperlink r:id="rId1" w:history="1">
        <w:r w:rsidRPr="00540701">
          <w:rPr>
            <w:rStyle w:val="Hyperlink"/>
          </w:rPr>
          <w:t>https://www.gov.br/funai/pt-br/atuacao/povos-indigenas/o-brasil-indigena-ibge-1</w:t>
        </w:r>
      </w:hyperlink>
      <w:r>
        <w:t xml:space="preserve"> </w:t>
      </w:r>
    </w:p>
  </w:footnote>
  <w:footnote w:id="2">
    <w:p w:rsidR="00E82D5D" w:rsidRDefault="00E82D5D">
      <w:pPr>
        <w:pStyle w:val="Textodenotaderodap"/>
      </w:pPr>
      <w:r>
        <w:rPr>
          <w:rStyle w:val="Refdenotaderodap"/>
        </w:rPr>
        <w:footnoteRef/>
      </w:r>
      <w:r>
        <w:t xml:space="preserve"> Alguns municípios, mesmo com a presença dos povos indígenas, não tem o reconhecimento oficial, conforme o DSEI Maranhão.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5DF9" w:rsidRPr="002916AC" w:rsidRDefault="006A6CCF" w:rsidP="00DD5DF9">
    <w:pPr>
      <w:pStyle w:val="Cabealho"/>
      <w:jc w:val="center"/>
      <w:rPr>
        <w:b/>
        <w:bCs/>
        <w:sz w:val="20"/>
        <w:szCs w:val="20"/>
        <w:lang w:val="pt-PT"/>
      </w:rPr>
    </w:pPr>
    <w:r w:rsidRPr="002916AC">
      <w:rPr>
        <w:b/>
        <w:bCs/>
        <w:noProof/>
        <w:sz w:val="20"/>
        <w:szCs w:val="20"/>
        <w:lang w:val="pt-PT"/>
      </w:rPr>
      <w:drawing>
        <wp:anchor distT="0" distB="0" distL="0" distR="0" simplePos="0" relativeHeight="251659264" behindDoc="1" locked="0" layoutInCell="1" allowOverlap="1" wp14:anchorId="209EFEBC" wp14:editId="0E9F3A75">
          <wp:simplePos x="0" y="0"/>
          <wp:positionH relativeFrom="page">
            <wp:posOffset>3216750</wp:posOffset>
          </wp:positionH>
          <wp:positionV relativeFrom="page">
            <wp:posOffset>449579</wp:posOffset>
          </wp:positionV>
          <wp:extent cx="906369" cy="780717"/>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906369" cy="780717"/>
                  </a:xfrm>
                  <a:prstGeom prst="rect">
                    <a:avLst/>
                  </a:prstGeom>
                </pic:spPr>
              </pic:pic>
            </a:graphicData>
          </a:graphic>
        </wp:anchor>
      </w:drawing>
    </w:r>
  </w:p>
  <w:p w:rsidR="00DD5DF9" w:rsidRDefault="003761EE" w:rsidP="00DD5DF9">
    <w:pPr>
      <w:pStyle w:val="Cabealho"/>
      <w:jc w:val="center"/>
      <w:rPr>
        <w:b/>
        <w:bCs/>
        <w:sz w:val="28"/>
        <w:szCs w:val="28"/>
      </w:rPr>
    </w:pPr>
  </w:p>
  <w:p w:rsidR="00DD5DF9" w:rsidRDefault="003761EE" w:rsidP="00DD5DF9">
    <w:pPr>
      <w:pStyle w:val="Cabealho"/>
      <w:jc w:val="center"/>
      <w:rPr>
        <w:b/>
        <w:bCs/>
        <w:sz w:val="28"/>
        <w:szCs w:val="28"/>
      </w:rPr>
    </w:pPr>
  </w:p>
  <w:p w:rsidR="00DD5DF9" w:rsidRPr="0001031E" w:rsidRDefault="003761EE" w:rsidP="00DD5DF9">
    <w:pPr>
      <w:pStyle w:val="Cabealho"/>
      <w:jc w:val="center"/>
      <w:rPr>
        <w:b/>
        <w:bCs/>
        <w:sz w:val="24"/>
        <w:szCs w:val="24"/>
      </w:rPr>
    </w:pPr>
  </w:p>
  <w:p w:rsidR="00DD5DF9" w:rsidRPr="00924050" w:rsidRDefault="006A6CCF" w:rsidP="00DD5DF9">
    <w:pPr>
      <w:pStyle w:val="Cabealho"/>
      <w:jc w:val="center"/>
      <w:rPr>
        <w:b/>
        <w:bCs/>
        <w:sz w:val="28"/>
        <w:szCs w:val="28"/>
      </w:rPr>
    </w:pPr>
    <w:r w:rsidRPr="00924050">
      <w:rPr>
        <w:b/>
        <w:bCs/>
        <w:sz w:val="28"/>
        <w:szCs w:val="28"/>
      </w:rPr>
      <w:t>ESTADO DO MARANHÃO</w:t>
    </w:r>
  </w:p>
  <w:p w:rsidR="00DD5DF9" w:rsidRPr="00924050" w:rsidRDefault="006A6CCF" w:rsidP="00DD5DF9">
    <w:pPr>
      <w:pStyle w:val="Cabealho"/>
      <w:jc w:val="center"/>
      <w:rPr>
        <w:sz w:val="28"/>
        <w:szCs w:val="28"/>
      </w:rPr>
    </w:pPr>
    <w:r w:rsidRPr="00924050">
      <w:rPr>
        <w:sz w:val="28"/>
        <w:szCs w:val="28"/>
      </w:rPr>
      <w:t>ASSEMBLEIA LEGISLATIVA</w:t>
    </w:r>
  </w:p>
  <w:p w:rsidR="00DD5DF9" w:rsidRPr="00924050" w:rsidRDefault="006A6CCF" w:rsidP="00DD5DF9">
    <w:pPr>
      <w:pStyle w:val="Cabealho"/>
      <w:jc w:val="center"/>
      <w:rPr>
        <w:sz w:val="28"/>
        <w:szCs w:val="28"/>
      </w:rPr>
    </w:pPr>
    <w:r w:rsidRPr="00924050">
      <w:rPr>
        <w:sz w:val="28"/>
        <w:szCs w:val="28"/>
      </w:rPr>
      <w:t>GABINETE DA DEPUTADA ABIGAIL CUNHA</w:t>
    </w:r>
  </w:p>
  <w:p w:rsidR="00DD5DF9" w:rsidRDefault="003761EE">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050"/>
    <w:rsid w:val="003761EE"/>
    <w:rsid w:val="004404B2"/>
    <w:rsid w:val="006A6CCF"/>
    <w:rsid w:val="00924050"/>
    <w:rsid w:val="00D55BAC"/>
    <w:rsid w:val="00E82D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CB8F20-5D23-4E0D-949D-14686BE1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05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2405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24050"/>
  </w:style>
  <w:style w:type="paragraph" w:styleId="Rodap">
    <w:name w:val="footer"/>
    <w:basedOn w:val="Normal"/>
    <w:link w:val="RodapChar"/>
    <w:uiPriority w:val="99"/>
    <w:unhideWhenUsed/>
    <w:rsid w:val="00924050"/>
    <w:pPr>
      <w:tabs>
        <w:tab w:val="center" w:pos="4252"/>
        <w:tab w:val="right" w:pos="8504"/>
      </w:tabs>
      <w:spacing w:after="0" w:line="240" w:lineRule="auto"/>
    </w:pPr>
  </w:style>
  <w:style w:type="character" w:customStyle="1" w:styleId="RodapChar">
    <w:name w:val="Rodapé Char"/>
    <w:basedOn w:val="Fontepargpadro"/>
    <w:link w:val="Rodap"/>
    <w:uiPriority w:val="99"/>
    <w:rsid w:val="00924050"/>
  </w:style>
  <w:style w:type="paragraph" w:styleId="Textodenotaderodap">
    <w:name w:val="footnote text"/>
    <w:basedOn w:val="Normal"/>
    <w:link w:val="TextodenotaderodapChar"/>
    <w:uiPriority w:val="99"/>
    <w:semiHidden/>
    <w:unhideWhenUsed/>
    <w:rsid w:val="00924050"/>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924050"/>
    <w:rPr>
      <w:sz w:val="20"/>
      <w:szCs w:val="20"/>
    </w:rPr>
  </w:style>
  <w:style w:type="character" w:styleId="Refdenotaderodap">
    <w:name w:val="footnote reference"/>
    <w:basedOn w:val="Fontepargpadro"/>
    <w:uiPriority w:val="99"/>
    <w:semiHidden/>
    <w:unhideWhenUsed/>
    <w:rsid w:val="00924050"/>
    <w:rPr>
      <w:vertAlign w:val="superscript"/>
    </w:rPr>
  </w:style>
  <w:style w:type="character" w:styleId="Hyperlink">
    <w:name w:val="Hyperlink"/>
    <w:basedOn w:val="Fontepargpadro"/>
    <w:uiPriority w:val="99"/>
    <w:unhideWhenUsed/>
    <w:rsid w:val="00924050"/>
    <w:rPr>
      <w:color w:val="0563C1" w:themeColor="hyperlink"/>
      <w:u w:val="single"/>
    </w:rPr>
  </w:style>
  <w:style w:type="character" w:styleId="MenoPendente">
    <w:name w:val="Unresolved Mention"/>
    <w:basedOn w:val="Fontepargpadro"/>
    <w:uiPriority w:val="99"/>
    <w:semiHidden/>
    <w:unhideWhenUsed/>
    <w:rsid w:val="009240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cademia.edu/38094337/Dossi%C3%AA_Etnologia_Ind%C3%ADgena_do_Nordest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gov.br/funai/pt-br/atuacao/povos-indigenas/o-brasil-indigena-ibge-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A246E-96E3-4FD9-A324-2CE84E2B9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1325</Words>
  <Characters>7161</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gabinete 221</cp:lastModifiedBy>
  <cp:revision>2</cp:revision>
  <dcterms:created xsi:type="dcterms:W3CDTF">2023-02-04T22:56:00Z</dcterms:created>
  <dcterms:modified xsi:type="dcterms:W3CDTF">2023-02-06T18:03:00Z</dcterms:modified>
</cp:coreProperties>
</file>