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7E68" w:rsidRDefault="00D07E68" w:rsidP="00D07E6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B0AFB" w:rsidRPr="006F568B" w:rsidRDefault="009C2082" w:rsidP="00D07E6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F568B">
        <w:rPr>
          <w:rFonts w:ascii="Times New Roman" w:hAnsi="Times New Roman" w:cs="Times New Roman"/>
          <w:sz w:val="24"/>
          <w:szCs w:val="24"/>
        </w:rPr>
        <w:t>PROJETO DE LEI Nº</w:t>
      </w:r>
      <w:r w:rsidR="002C7C01" w:rsidRPr="006F568B">
        <w:rPr>
          <w:rFonts w:ascii="Times New Roman" w:hAnsi="Times New Roman" w:cs="Times New Roman"/>
          <w:sz w:val="24"/>
          <w:szCs w:val="24"/>
        </w:rPr>
        <w:t xml:space="preserve"> </w:t>
      </w:r>
      <w:r w:rsidR="006A629E">
        <w:rPr>
          <w:rFonts w:ascii="Times New Roman" w:hAnsi="Times New Roman" w:cs="Times New Roman"/>
          <w:sz w:val="24"/>
          <w:szCs w:val="24"/>
        </w:rPr>
        <w:t xml:space="preserve"> </w:t>
      </w:r>
      <w:r w:rsidRPr="006F568B">
        <w:rPr>
          <w:rFonts w:ascii="Times New Roman" w:hAnsi="Times New Roman" w:cs="Times New Roman"/>
          <w:sz w:val="24"/>
          <w:szCs w:val="24"/>
        </w:rPr>
        <w:t xml:space="preserve"> / 2023</w:t>
      </w:r>
    </w:p>
    <w:p w:rsidR="00CB0AFB" w:rsidRPr="006F568B" w:rsidRDefault="00CB0AFB" w:rsidP="00D07E68">
      <w:pPr>
        <w:rPr>
          <w:rFonts w:ascii="Times New Roman" w:hAnsi="Times New Roman" w:cs="Times New Roman"/>
          <w:sz w:val="24"/>
          <w:szCs w:val="24"/>
        </w:rPr>
      </w:pPr>
    </w:p>
    <w:p w:rsidR="00CB0AFB" w:rsidRPr="006F568B" w:rsidRDefault="00CB0AFB" w:rsidP="00D07E68">
      <w:pPr>
        <w:ind w:left="4320"/>
        <w:jc w:val="both"/>
        <w:rPr>
          <w:rFonts w:ascii="Times New Roman" w:hAnsi="Times New Roman" w:cs="Times New Roman"/>
          <w:sz w:val="24"/>
          <w:szCs w:val="24"/>
        </w:rPr>
      </w:pPr>
    </w:p>
    <w:p w:rsidR="004A59FC" w:rsidRPr="006F568B" w:rsidRDefault="004A59FC" w:rsidP="006F568B">
      <w:pPr>
        <w:spacing w:line="276" w:lineRule="auto"/>
        <w:ind w:left="43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DISPÕE</w:t>
      </w:r>
      <w:bookmarkStart w:id="0" w:name="_GoBack"/>
      <w:bookmarkEnd w:id="0"/>
      <w:r w:rsidRPr="006F568B">
        <w:rPr>
          <w:rFonts w:ascii="Times New Roman" w:hAnsi="Times New Roman" w:cs="Times New Roman"/>
          <w:b/>
          <w:bCs/>
          <w:sz w:val="24"/>
          <w:szCs w:val="24"/>
        </w:rPr>
        <w:t xml:space="preserve"> SOBRE A GARANTIA DE AGILIDADE NOS SERVIÇOS</w:t>
      </w:r>
      <w:r w:rsidR="00644F18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6F568B">
        <w:rPr>
          <w:rFonts w:ascii="Times New Roman" w:hAnsi="Times New Roman" w:cs="Times New Roman"/>
          <w:b/>
          <w:bCs/>
          <w:sz w:val="24"/>
          <w:szCs w:val="24"/>
        </w:rPr>
        <w:t xml:space="preserve"> SOBRE O TEMPO PARA ATENDIMENTO DE USUÁRIOS</w:t>
      </w:r>
      <w:r w:rsidR="00644F18">
        <w:rPr>
          <w:rFonts w:ascii="Times New Roman" w:hAnsi="Times New Roman" w:cs="Times New Roman"/>
          <w:b/>
          <w:bCs/>
          <w:sz w:val="24"/>
          <w:szCs w:val="24"/>
        </w:rPr>
        <w:t>, BEM COMO ESTABELECE CRITÉRIOS BÁSICOS PARA A PROMOÇÃO DA ACESSIBILIDADE DAS PESSOAS PORTADORAS DE DEFICIÊNCIAS OU COM MOBILIDADE REDUZIDA</w:t>
      </w:r>
      <w:r w:rsidRPr="006F568B">
        <w:rPr>
          <w:rFonts w:ascii="Times New Roman" w:hAnsi="Times New Roman" w:cs="Times New Roman"/>
          <w:b/>
          <w:bCs/>
          <w:sz w:val="24"/>
          <w:szCs w:val="24"/>
        </w:rPr>
        <w:t xml:space="preserve"> EM ESTABELECIMENTOS DOS CARTÓRIOS EXTRAJUDICIAIS DE SERVIÇOS NOTARIAIS E DE REGISTRO DO ESTADO DO MARANHÃO. </w:t>
      </w:r>
    </w:p>
    <w:p w:rsidR="00CB0AFB" w:rsidRPr="006F568B" w:rsidRDefault="00CB0AFB" w:rsidP="00D07E68">
      <w:pPr>
        <w:rPr>
          <w:rFonts w:ascii="Times New Roman" w:hAnsi="Times New Roman" w:cs="Times New Roman"/>
          <w:sz w:val="24"/>
          <w:szCs w:val="24"/>
        </w:rPr>
      </w:pPr>
    </w:p>
    <w:p w:rsidR="00CB0AFB" w:rsidRPr="006F568B" w:rsidRDefault="009C2082" w:rsidP="00D07E68">
      <w:pPr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</w:p>
    <w:p w:rsidR="00D07E68" w:rsidRPr="006F568B" w:rsidRDefault="00106683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Artigo 1º</w:t>
      </w:r>
      <w:r w:rsidR="00E8461F" w:rsidRPr="006F568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6F568B">
        <w:rPr>
          <w:rFonts w:ascii="Times New Roman" w:hAnsi="Times New Roman" w:cs="Times New Roman"/>
          <w:sz w:val="24"/>
          <w:szCs w:val="24"/>
        </w:rPr>
        <w:t xml:space="preserve"> Fica estabelecido que os cartórios de imóveis e de pessoas do Estado do Maranhão estão obrigados a expedir todos e quaisquer tipos de registros, certidões, averbações, declarações ou qualquer documento de sua responsabilidade no prazo máximo de 24 horas, a contar a partir do momento da solicitação do interessado.</w:t>
      </w:r>
    </w:p>
    <w:p w:rsidR="00D07E68" w:rsidRPr="006F568B" w:rsidRDefault="00106683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Artigo 2º</w:t>
      </w:r>
      <w:r w:rsidR="00E8461F" w:rsidRPr="006F568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6F568B">
        <w:rPr>
          <w:rFonts w:ascii="Times New Roman" w:hAnsi="Times New Roman" w:cs="Times New Roman"/>
          <w:sz w:val="24"/>
          <w:szCs w:val="24"/>
        </w:rPr>
        <w:t xml:space="preserve"> Os cartórios devem criar procedimentos internos eficazes para garantir o cumprimento do prazo estabelecido no Artigo 1º deste projeto de lei.</w:t>
      </w:r>
    </w:p>
    <w:p w:rsidR="00106683" w:rsidRPr="006F568B" w:rsidRDefault="00106683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Artigo 3º</w:t>
      </w:r>
      <w:r w:rsidR="00E8461F" w:rsidRPr="006F568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6F56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F568B">
        <w:rPr>
          <w:rFonts w:ascii="Times New Roman" w:hAnsi="Times New Roman" w:cs="Times New Roman"/>
          <w:sz w:val="24"/>
          <w:szCs w:val="24"/>
        </w:rPr>
        <w:t>Fica vedada a cobrança de taxas adicionais pela expedição rápida de documentos no prazo de 24 horas.</w:t>
      </w:r>
    </w:p>
    <w:p w:rsidR="00D07E68" w:rsidRPr="006F568B" w:rsidRDefault="002C7C01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Art. </w:t>
      </w:r>
      <w:r w:rsidR="00435A7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F568B">
        <w:rPr>
          <w:rFonts w:ascii="Times New Roman" w:hAnsi="Times New Roman" w:cs="Times New Roman"/>
          <w:b/>
          <w:bCs/>
          <w:sz w:val="24"/>
          <w:szCs w:val="24"/>
        </w:rPr>
        <w:t>°</w:t>
      </w:r>
      <w:r w:rsidR="00E8461F" w:rsidRPr="006F568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6F568B">
        <w:rPr>
          <w:rFonts w:ascii="Times New Roman" w:hAnsi="Times New Roman" w:cs="Times New Roman"/>
          <w:sz w:val="24"/>
          <w:szCs w:val="24"/>
        </w:rPr>
        <w:t> Ficam os Cartórios extrajudiciais de Serviços Notariais e de Registro que operam no Estado do Maranhão obrigados a atender cada usuário no prazo máximo de 20 (vinte) minutos como tempo de espera.</w:t>
      </w:r>
    </w:p>
    <w:p w:rsidR="00D07E68" w:rsidRPr="006F568B" w:rsidRDefault="002C7C01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Parágrafo Único.</w:t>
      </w:r>
      <w:r w:rsidRPr="006F568B">
        <w:rPr>
          <w:rFonts w:ascii="Times New Roman" w:hAnsi="Times New Roman" w:cs="Times New Roman"/>
          <w:sz w:val="24"/>
          <w:szCs w:val="24"/>
        </w:rPr>
        <w:t> Considera-se tempo de atendimento o computado desde a entrada do usuário no estabelecimento do cartório, até o início do efetivo atendimento.</w:t>
      </w:r>
    </w:p>
    <w:p w:rsidR="00D07E68" w:rsidRPr="006F568B" w:rsidRDefault="002C7C01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435A75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F568B">
        <w:rPr>
          <w:rFonts w:ascii="Times New Roman" w:hAnsi="Times New Roman" w:cs="Times New Roman"/>
          <w:b/>
          <w:bCs/>
          <w:sz w:val="24"/>
          <w:szCs w:val="24"/>
        </w:rPr>
        <w:t>°.</w:t>
      </w:r>
      <w:r w:rsidRPr="006F568B">
        <w:rPr>
          <w:rFonts w:ascii="Times New Roman" w:hAnsi="Times New Roman" w:cs="Times New Roman"/>
          <w:sz w:val="24"/>
          <w:szCs w:val="24"/>
        </w:rPr>
        <w:t> Para comprovação do tempo de espera, o usuário apresentará o bilhete da senha de atendimento, onde constará, impresso mecanicamente, o horário de recebimento da senha e o horário de atendimento.</w:t>
      </w:r>
    </w:p>
    <w:p w:rsidR="00D07E68" w:rsidRPr="006F568B" w:rsidRDefault="002C7C01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lastRenderedPageBreak/>
        <w:t>Parágrafo único.</w:t>
      </w:r>
      <w:r w:rsidRPr="006F568B">
        <w:rPr>
          <w:rFonts w:ascii="Times New Roman" w:hAnsi="Times New Roman" w:cs="Times New Roman"/>
          <w:sz w:val="24"/>
          <w:szCs w:val="24"/>
        </w:rPr>
        <w:t> Os Cartórios Extrajudiciais de Serviços Notariais e de Registro deverão disponibilizar senhas numeradas, que deverão ser entregues ao usuário logo ao adentrar ao estabelecimento do cartório.</w:t>
      </w:r>
    </w:p>
    <w:p w:rsidR="00D07E68" w:rsidRPr="006F568B" w:rsidRDefault="002C7C01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435A75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F568B">
        <w:rPr>
          <w:rFonts w:ascii="Times New Roman" w:hAnsi="Times New Roman" w:cs="Times New Roman"/>
          <w:b/>
          <w:bCs/>
          <w:sz w:val="24"/>
          <w:szCs w:val="24"/>
        </w:rPr>
        <w:t>°.</w:t>
      </w:r>
      <w:r w:rsidRPr="006F568B">
        <w:rPr>
          <w:rFonts w:ascii="Times New Roman" w:hAnsi="Times New Roman" w:cs="Times New Roman"/>
          <w:sz w:val="24"/>
          <w:szCs w:val="24"/>
        </w:rPr>
        <w:t> Cabe aos Cartórios extrajudiciais de Serviços Notariais e de Registro de que trata esta Lei implantar os procedimentos necessários para o cumprimento do disposto nesta lei, no prazo de 90 (noventa) dias a partir da sua publicação.</w:t>
      </w:r>
    </w:p>
    <w:p w:rsidR="00D07E68" w:rsidRPr="006F568B" w:rsidRDefault="002C7C01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Parágrafo único.</w:t>
      </w:r>
      <w:r w:rsidRPr="006F568B">
        <w:rPr>
          <w:rFonts w:ascii="Times New Roman" w:hAnsi="Times New Roman" w:cs="Times New Roman"/>
          <w:sz w:val="24"/>
          <w:szCs w:val="24"/>
        </w:rPr>
        <w:t> Entre os procedimentos a que se referem o caput deste artigo, os Cartórios extrajudiciais de Serviços Notariais e de Registro disponibilizarão número suficiente de funcionários e terminais de atendimento para o cumprimento desta Lei.</w:t>
      </w:r>
    </w:p>
    <w:p w:rsidR="00D07E68" w:rsidRPr="006F568B" w:rsidRDefault="002C7C01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435A75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6F568B">
        <w:rPr>
          <w:rFonts w:ascii="Times New Roman" w:hAnsi="Times New Roman" w:cs="Times New Roman"/>
          <w:b/>
          <w:bCs/>
          <w:sz w:val="24"/>
          <w:szCs w:val="24"/>
        </w:rPr>
        <w:t>°.</w:t>
      </w:r>
      <w:r w:rsidRPr="006F568B">
        <w:rPr>
          <w:rFonts w:ascii="Times New Roman" w:hAnsi="Times New Roman" w:cs="Times New Roman"/>
          <w:sz w:val="24"/>
          <w:szCs w:val="24"/>
        </w:rPr>
        <w:t> Os cartórios extrajudiciais de Serviços Notariais e de Registro deverão instalar banheiro, bebedouro e assentos individuais para uso de clientes e adaptados para atender as necessidades das pessoas com deficiência.</w:t>
      </w:r>
    </w:p>
    <w:p w:rsidR="00D07E68" w:rsidRPr="006F568B" w:rsidRDefault="002C7C01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435A75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6F568B">
        <w:rPr>
          <w:rFonts w:ascii="Times New Roman" w:hAnsi="Times New Roman" w:cs="Times New Roman"/>
          <w:b/>
          <w:bCs/>
          <w:sz w:val="24"/>
          <w:szCs w:val="24"/>
        </w:rPr>
        <w:t>°.</w:t>
      </w:r>
      <w:r w:rsidRPr="006F568B">
        <w:rPr>
          <w:rFonts w:ascii="Times New Roman" w:hAnsi="Times New Roman" w:cs="Times New Roman"/>
          <w:sz w:val="24"/>
          <w:szCs w:val="24"/>
        </w:rPr>
        <w:t> As denúncias de descumprimento desta lei serão feitas ao serviço de Proteção e Defesa do Consumidor – PROCON.</w:t>
      </w:r>
    </w:p>
    <w:p w:rsidR="00D07E68" w:rsidRPr="006F568B" w:rsidRDefault="002C7C01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Parágrafo único.</w:t>
      </w:r>
      <w:r w:rsidRPr="006F568B">
        <w:rPr>
          <w:rFonts w:ascii="Times New Roman" w:hAnsi="Times New Roman" w:cs="Times New Roman"/>
          <w:sz w:val="24"/>
          <w:szCs w:val="24"/>
        </w:rPr>
        <w:t> Para o fim do disposto no caput deste artigo, os estabelecimentos de que trata o art. 1 ° desta Lei afixarão, em posição visível ao consumidor que estiver na fila, cartaz legível com número desta lei e os dizeres que expressem:</w:t>
      </w:r>
    </w:p>
    <w:p w:rsidR="00D07E68" w:rsidRPr="006F568B" w:rsidRDefault="002C7C01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6F568B">
        <w:rPr>
          <w:rFonts w:ascii="Times New Roman" w:hAnsi="Times New Roman" w:cs="Times New Roman"/>
          <w:sz w:val="24"/>
          <w:szCs w:val="24"/>
        </w:rPr>
        <w:t xml:space="preserve"> – a obrigatoriedade a que se refere o art. 1º desta Lei</w:t>
      </w:r>
      <w:r w:rsidR="00D07E68" w:rsidRPr="006F568B">
        <w:rPr>
          <w:rFonts w:ascii="Times New Roman" w:hAnsi="Times New Roman" w:cs="Times New Roman"/>
          <w:sz w:val="24"/>
          <w:szCs w:val="24"/>
        </w:rPr>
        <w:t>.</w:t>
      </w:r>
    </w:p>
    <w:p w:rsidR="004A59FC" w:rsidRPr="006F568B" w:rsidRDefault="002C7C01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6F568B">
        <w:rPr>
          <w:rFonts w:ascii="Times New Roman" w:hAnsi="Times New Roman" w:cs="Times New Roman"/>
          <w:sz w:val="24"/>
          <w:szCs w:val="24"/>
        </w:rPr>
        <w:t xml:space="preserve"> – o número de telefone e endereço do PROCON.</w:t>
      </w:r>
    </w:p>
    <w:p w:rsidR="00D07E68" w:rsidRPr="006F568B" w:rsidRDefault="002C7C01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435A75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6F568B">
        <w:rPr>
          <w:rFonts w:ascii="Times New Roman" w:hAnsi="Times New Roman" w:cs="Times New Roman"/>
          <w:b/>
          <w:bCs/>
          <w:sz w:val="24"/>
          <w:szCs w:val="24"/>
        </w:rPr>
        <w:t>°.</w:t>
      </w:r>
      <w:r w:rsidRPr="006F568B">
        <w:rPr>
          <w:rFonts w:ascii="Times New Roman" w:hAnsi="Times New Roman" w:cs="Times New Roman"/>
          <w:sz w:val="24"/>
          <w:szCs w:val="24"/>
        </w:rPr>
        <w:t> A denúncia deverá ser apresentada ao PROCON, mediante Termo de Denúncia acompanhado, do comprovante de seu tempo de espera, ou nos padrões de denúncias já adotados pelo PROCON.</w:t>
      </w:r>
    </w:p>
    <w:p w:rsidR="00D07E68" w:rsidRPr="006F568B" w:rsidRDefault="002C7C01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§1°</w:t>
      </w:r>
      <w:r w:rsidRPr="006F568B">
        <w:rPr>
          <w:rFonts w:ascii="Times New Roman" w:hAnsi="Times New Roman" w:cs="Times New Roman"/>
          <w:sz w:val="24"/>
          <w:szCs w:val="24"/>
        </w:rPr>
        <w:t> - O Termo de Denúncia conterá nome completo do denunciante, número da carteira de identidade, endereço residencial e assinatura do usuário/denunciante bem como nome e endereço do Cartório extrajudicial de Serviço notarial ou de Registro objeto da denúncia.</w:t>
      </w:r>
    </w:p>
    <w:p w:rsidR="00D07E68" w:rsidRPr="006F568B" w:rsidRDefault="002C7C01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§2°</w:t>
      </w:r>
      <w:r w:rsidRPr="006F568B">
        <w:rPr>
          <w:rFonts w:ascii="Times New Roman" w:hAnsi="Times New Roman" w:cs="Times New Roman"/>
          <w:sz w:val="24"/>
          <w:szCs w:val="24"/>
        </w:rPr>
        <w:t xml:space="preserve"> - Fica dispensada a utilização de formulário oficial para elaboração do Termo de Denúncia.</w:t>
      </w:r>
    </w:p>
    <w:p w:rsidR="00D07E68" w:rsidRPr="006F568B" w:rsidRDefault="002C7C01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E3710F" w:rsidRPr="006F568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35A75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6F568B">
        <w:rPr>
          <w:rFonts w:ascii="Times New Roman" w:hAnsi="Times New Roman" w:cs="Times New Roman"/>
          <w:b/>
          <w:bCs/>
          <w:sz w:val="24"/>
          <w:szCs w:val="24"/>
        </w:rPr>
        <w:t>°.</w:t>
      </w:r>
      <w:r w:rsidRPr="006F568B">
        <w:rPr>
          <w:rFonts w:ascii="Times New Roman" w:hAnsi="Times New Roman" w:cs="Times New Roman"/>
          <w:sz w:val="24"/>
          <w:szCs w:val="24"/>
        </w:rPr>
        <w:t> O descumprimento do disposto nesta Lei sujeita o estabelecimento infrator à aplicação das seguintes penalidades:</w:t>
      </w:r>
    </w:p>
    <w:p w:rsidR="00D07E68" w:rsidRPr="006F568B" w:rsidRDefault="002C7C01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6F568B">
        <w:rPr>
          <w:rFonts w:ascii="Times New Roman" w:hAnsi="Times New Roman" w:cs="Times New Roman"/>
          <w:sz w:val="24"/>
          <w:szCs w:val="24"/>
        </w:rPr>
        <w:t xml:space="preserve"> – </w:t>
      </w:r>
      <w:r w:rsidR="008C09CE" w:rsidRPr="006F568B">
        <w:rPr>
          <w:rFonts w:ascii="Times New Roman" w:hAnsi="Times New Roman" w:cs="Times New Roman"/>
          <w:sz w:val="24"/>
          <w:szCs w:val="24"/>
        </w:rPr>
        <w:t>aplicação</w:t>
      </w:r>
      <w:r w:rsidRPr="006F568B">
        <w:rPr>
          <w:rFonts w:ascii="Times New Roman" w:hAnsi="Times New Roman" w:cs="Times New Roman"/>
          <w:sz w:val="24"/>
          <w:szCs w:val="24"/>
        </w:rPr>
        <w:t xml:space="preserve"> de multa de </w:t>
      </w:r>
      <w:r w:rsidR="004A59FC" w:rsidRPr="006F568B">
        <w:rPr>
          <w:rFonts w:ascii="Times New Roman" w:hAnsi="Times New Roman" w:cs="Times New Roman"/>
          <w:sz w:val="24"/>
          <w:szCs w:val="24"/>
        </w:rPr>
        <w:t>5000 (cinco mil)</w:t>
      </w:r>
      <w:r w:rsidRPr="006F568B">
        <w:rPr>
          <w:rFonts w:ascii="Times New Roman" w:hAnsi="Times New Roman" w:cs="Times New Roman"/>
          <w:sz w:val="24"/>
          <w:szCs w:val="24"/>
        </w:rPr>
        <w:t xml:space="preserve"> unidades de referência fiscal</w:t>
      </w:r>
      <w:r w:rsidR="008C09CE" w:rsidRPr="006F568B">
        <w:rPr>
          <w:rFonts w:ascii="Times New Roman" w:hAnsi="Times New Roman" w:cs="Times New Roman"/>
          <w:sz w:val="24"/>
          <w:szCs w:val="24"/>
        </w:rPr>
        <w:t xml:space="preserve"> do Estado do Maranhão</w:t>
      </w:r>
      <w:r w:rsidR="00D07E68" w:rsidRPr="006F568B">
        <w:rPr>
          <w:rFonts w:ascii="Times New Roman" w:hAnsi="Times New Roman" w:cs="Times New Roman"/>
          <w:sz w:val="24"/>
          <w:szCs w:val="24"/>
        </w:rPr>
        <w:t xml:space="preserve"> </w:t>
      </w:r>
      <w:r w:rsidRPr="006F568B">
        <w:rPr>
          <w:rFonts w:ascii="Times New Roman" w:hAnsi="Times New Roman" w:cs="Times New Roman"/>
          <w:sz w:val="24"/>
          <w:szCs w:val="24"/>
        </w:rPr>
        <w:t>(UREF – M</w:t>
      </w:r>
      <w:r w:rsidR="00D07E68" w:rsidRPr="006F568B">
        <w:rPr>
          <w:rFonts w:ascii="Times New Roman" w:hAnsi="Times New Roman" w:cs="Times New Roman"/>
          <w:sz w:val="24"/>
          <w:szCs w:val="24"/>
        </w:rPr>
        <w:t>A</w:t>
      </w:r>
      <w:r w:rsidRPr="006F568B">
        <w:rPr>
          <w:rFonts w:ascii="Times New Roman" w:hAnsi="Times New Roman" w:cs="Times New Roman"/>
          <w:sz w:val="24"/>
          <w:szCs w:val="24"/>
        </w:rPr>
        <w:t>);</w:t>
      </w:r>
    </w:p>
    <w:p w:rsidR="00D07E68" w:rsidRPr="006F568B" w:rsidRDefault="00E8461F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lastRenderedPageBreak/>
        <w:t>II</w:t>
      </w:r>
      <w:r w:rsidR="002C7C01" w:rsidRPr="006F568B">
        <w:rPr>
          <w:rFonts w:ascii="Times New Roman" w:hAnsi="Times New Roman" w:cs="Times New Roman"/>
          <w:sz w:val="24"/>
          <w:szCs w:val="24"/>
        </w:rPr>
        <w:t>– duplicação do valor da multa, em caso de nova reincidência.</w:t>
      </w:r>
    </w:p>
    <w:p w:rsidR="00D07E68" w:rsidRPr="006F568B" w:rsidRDefault="002C7C01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III</w:t>
      </w:r>
      <w:r w:rsidRPr="006F568B">
        <w:rPr>
          <w:rFonts w:ascii="Times New Roman" w:hAnsi="Times New Roman" w:cs="Times New Roman"/>
          <w:sz w:val="24"/>
          <w:szCs w:val="24"/>
        </w:rPr>
        <w:t xml:space="preserve"> – suspensão do alvará de funcionamento, em caso de terceira reincidência.</w:t>
      </w:r>
    </w:p>
    <w:p w:rsidR="00D07E68" w:rsidRPr="006F568B" w:rsidRDefault="002C7C01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E3710F" w:rsidRPr="006F568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35A7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6F568B">
        <w:rPr>
          <w:rFonts w:ascii="Times New Roman" w:hAnsi="Times New Roman" w:cs="Times New Roman"/>
          <w:b/>
          <w:bCs/>
          <w:sz w:val="24"/>
          <w:szCs w:val="24"/>
        </w:rPr>
        <w:t>°.</w:t>
      </w:r>
      <w:r w:rsidRPr="006F568B">
        <w:rPr>
          <w:rFonts w:ascii="Times New Roman" w:hAnsi="Times New Roman" w:cs="Times New Roman"/>
          <w:sz w:val="24"/>
          <w:szCs w:val="24"/>
        </w:rPr>
        <w:t> Não será considerada infração à Lei a não observância do tempo de espera previsto, desde que devidamente comprovado, nas seguintes condições:</w:t>
      </w:r>
    </w:p>
    <w:p w:rsidR="00D07E68" w:rsidRPr="006F568B" w:rsidRDefault="002C7C01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 xml:space="preserve">I </w:t>
      </w:r>
      <w:r w:rsidRPr="006F568B">
        <w:rPr>
          <w:rFonts w:ascii="Times New Roman" w:hAnsi="Times New Roman" w:cs="Times New Roman"/>
          <w:sz w:val="24"/>
          <w:szCs w:val="24"/>
        </w:rPr>
        <w:t>– força maior, tais como interrupção do fornecimento de energia elétrica e problemas relativos à telefonia e transmissão de dados;</w:t>
      </w:r>
    </w:p>
    <w:p w:rsidR="00D07E68" w:rsidRPr="006F568B" w:rsidRDefault="002C7C01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6F568B">
        <w:rPr>
          <w:rFonts w:ascii="Times New Roman" w:hAnsi="Times New Roman" w:cs="Times New Roman"/>
          <w:sz w:val="24"/>
          <w:szCs w:val="24"/>
        </w:rPr>
        <w:t xml:space="preserve"> – greve.</w:t>
      </w:r>
    </w:p>
    <w:p w:rsidR="00D07E68" w:rsidRPr="006F568B" w:rsidRDefault="002C7C01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E3710F" w:rsidRPr="006F568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35A75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6F568B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6F568B">
        <w:rPr>
          <w:rFonts w:ascii="Times New Roman" w:hAnsi="Times New Roman" w:cs="Times New Roman"/>
          <w:sz w:val="24"/>
          <w:szCs w:val="24"/>
        </w:rPr>
        <w:t xml:space="preserve">. Os recursos advindos das multas serão destinados </w:t>
      </w:r>
      <w:r w:rsidR="00982144" w:rsidRPr="006F568B">
        <w:rPr>
          <w:rFonts w:ascii="Times New Roman" w:hAnsi="Times New Roman" w:cs="Times New Roman"/>
          <w:sz w:val="24"/>
          <w:szCs w:val="24"/>
        </w:rPr>
        <w:t>Fundo Estadual de Proteção e Defesa dos Direitos do Consumidor</w:t>
      </w:r>
      <w:r w:rsidR="008C09CE" w:rsidRPr="006F568B">
        <w:rPr>
          <w:rFonts w:ascii="Times New Roman" w:hAnsi="Times New Roman" w:cs="Times New Roman"/>
          <w:sz w:val="24"/>
          <w:szCs w:val="24"/>
        </w:rPr>
        <w:t>.</w:t>
      </w:r>
    </w:p>
    <w:p w:rsidR="00D07E68" w:rsidRPr="006F568B" w:rsidRDefault="002C7C01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Art. 1</w:t>
      </w:r>
      <w:r w:rsidR="00435A75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F568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6F568B">
        <w:rPr>
          <w:rFonts w:ascii="Times New Roman" w:hAnsi="Times New Roman" w:cs="Times New Roman"/>
          <w:sz w:val="24"/>
          <w:szCs w:val="24"/>
        </w:rPr>
        <w:t> Revogam-se os dispositivos em contrário.</w:t>
      </w:r>
    </w:p>
    <w:p w:rsidR="002C7C01" w:rsidRPr="006F568B" w:rsidRDefault="002C7C01" w:rsidP="006F568B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Art. 1</w:t>
      </w:r>
      <w:r w:rsidR="00435A7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F568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6F568B">
        <w:rPr>
          <w:rFonts w:ascii="Times New Roman" w:hAnsi="Times New Roman" w:cs="Times New Roman"/>
          <w:sz w:val="24"/>
          <w:szCs w:val="24"/>
        </w:rPr>
        <w:t> Esta Lei entra em vigor na data de sua publicação</w:t>
      </w:r>
    </w:p>
    <w:p w:rsidR="00D07E68" w:rsidRPr="006F568B" w:rsidRDefault="004A59FC" w:rsidP="00435A75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PLENÁRIO DEPUTADO “NAGIB HAICKEL” DO PALÁCIO “MANUEL BECKMAN”</w:t>
      </w:r>
      <w:r w:rsidR="00D07E68" w:rsidRPr="006F568B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:rsidR="004A59FC" w:rsidRPr="006F568B" w:rsidRDefault="004A59FC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JUSCELINO MARRECA</w:t>
      </w:r>
    </w:p>
    <w:p w:rsidR="004A59FC" w:rsidRDefault="004A59FC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Deputado Estadual</w:t>
      </w: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5A75" w:rsidRDefault="00435A75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5A75" w:rsidRDefault="00435A75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5A75" w:rsidRDefault="00435A75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435A7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35A75" w:rsidRDefault="00435A75" w:rsidP="00435A7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Pr="006F568B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Pr="006F568B" w:rsidRDefault="006A629E" w:rsidP="006A629E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:rsidR="006A629E" w:rsidRPr="006F568B" w:rsidRDefault="006A629E" w:rsidP="006A629E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sz w:val="24"/>
          <w:szCs w:val="24"/>
        </w:rPr>
        <w:t xml:space="preserve">Com fundamento no artigo 12, inciso I, alíneas a, b e inciso II, alíneas n e h da constituição do Estado do Maranhão, bem como o princípio da dignidade humana este projeto de lei busca garantir maior eficiência e agilidade nos serviços cartoriais, facilitando o acesso dos cidadãos a documentos essenciais, bem como estabelece critério básicos para a promoção da acessibilidade das pessoas portadoras de deficiência ou com mobilidade reduzida, conforme lei nº 10.098, de 19 de dezembro de 2000. </w:t>
      </w:r>
    </w:p>
    <w:p w:rsidR="006A629E" w:rsidRPr="006F568B" w:rsidRDefault="006A629E" w:rsidP="006A629E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sz w:val="24"/>
          <w:szCs w:val="24"/>
        </w:rPr>
        <w:t>A implementação d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6F568B">
        <w:rPr>
          <w:rFonts w:ascii="Times New Roman" w:hAnsi="Times New Roman" w:cs="Times New Roman"/>
          <w:sz w:val="24"/>
          <w:szCs w:val="24"/>
        </w:rPr>
        <w:t xml:space="preserve"> prazo máximo de 24 horas para expedição de documentos</w:t>
      </w:r>
      <w:r>
        <w:rPr>
          <w:rFonts w:ascii="Times New Roman" w:hAnsi="Times New Roman" w:cs="Times New Roman"/>
          <w:sz w:val="24"/>
          <w:szCs w:val="24"/>
        </w:rPr>
        <w:t xml:space="preserve"> e 20 minutos como tempo de espera para início de atendimento</w:t>
      </w:r>
      <w:r w:rsidRPr="006F568B">
        <w:rPr>
          <w:rFonts w:ascii="Times New Roman" w:hAnsi="Times New Roman" w:cs="Times New Roman"/>
          <w:sz w:val="24"/>
          <w:szCs w:val="24"/>
        </w:rPr>
        <w:t xml:space="preserve"> é uma medida que visa a modernização dos serviços públicos, reduzindo burocracias e tornando a vida dos cidadãos mais prática.</w:t>
      </w:r>
    </w:p>
    <w:p w:rsidR="006A629E" w:rsidRPr="006F568B" w:rsidRDefault="006A629E" w:rsidP="006A629E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sz w:val="24"/>
          <w:szCs w:val="24"/>
        </w:rPr>
        <w:t>Além disso, ao proibir a cobrança de taxas adicionais pela expedição rápida de documentos, estamos assegurando que o acesso a esses serviços seja equitativo para todos os cidadãos, independentemente de sua situação financeira.</w:t>
      </w:r>
    </w:p>
    <w:p w:rsidR="006A629E" w:rsidRDefault="006A629E" w:rsidP="006A629E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sz w:val="24"/>
          <w:szCs w:val="24"/>
        </w:rPr>
        <w:t xml:space="preserve">A fiscalização e as sanções previstas neste projeto, fundamentam-se de acordo com o artigo 57, § único do CDC e lei 7347/85 e lei estadual nº 11980 de 13/07/2023, visando garantir o cumprimento da lei por parte dos cartórios, assegurando que os cidadãos tenham seus direitos respeitados. Este projeto está alinhado com os princípios de transparência, eficiência e acessibilidade dos serviços públicos, contribuindo para o desenvolvimento do Estado do Maranhão. </w:t>
      </w:r>
    </w:p>
    <w:p w:rsidR="006A629E" w:rsidRPr="006F568B" w:rsidRDefault="006A629E" w:rsidP="006A629E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Cabe mencionar os seguintes julgados a</w:t>
      </w:r>
      <w:r w:rsidRPr="006F568B">
        <w:rPr>
          <w:rFonts w:ascii="Times New Roman" w:hAnsi="Times New Roman" w:cs="Times New Roman"/>
          <w:sz w:val="24"/>
          <w:szCs w:val="24"/>
        </w:rPr>
        <w:t xml:space="preserve">cerca da competência: </w:t>
      </w:r>
    </w:p>
    <w:p w:rsidR="006A629E" w:rsidRPr="006F568B" w:rsidRDefault="006A629E" w:rsidP="006A629E">
      <w:pPr>
        <w:spacing w:before="100" w:beforeAutospacing="1" w:after="100" w:afterAutospacing="1"/>
        <w:ind w:left="288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sz w:val="24"/>
          <w:szCs w:val="24"/>
        </w:rPr>
        <w:t>(STF - ARE: 1351776 MG 0758193-66.2019.8.13.0000, Relator: ALEXANDRE DE MORAES, Data de Julgamento: 26/01/2022, Data de Publicação: 28/01/2022)</w:t>
      </w:r>
    </w:p>
    <w:p w:rsidR="006A629E" w:rsidRPr="006F568B" w:rsidRDefault="006A629E" w:rsidP="006A629E">
      <w:pPr>
        <w:spacing w:before="100" w:beforeAutospacing="1" w:after="100" w:afterAutospacing="1"/>
        <w:ind w:left="288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sz w:val="24"/>
          <w:szCs w:val="24"/>
        </w:rPr>
        <w:t>(STF - RE: 397094 DF, Relator: Min. SEPÚLVEDA PERTENCE, Data de Julgamento: 29/08/2006, Primeira Turma, Data de Publicação: DJ 27-10-2006 PP-00050 EMENT VOL-02253-04 PP-00750 LEXSTF v. 29, n. 337, 2007, p. 255-261)</w:t>
      </w:r>
    </w:p>
    <w:p w:rsidR="006A629E" w:rsidRPr="006F568B" w:rsidRDefault="006A629E" w:rsidP="006A629E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sz w:val="24"/>
          <w:szCs w:val="24"/>
        </w:rPr>
        <w:lastRenderedPageBreak/>
        <w:t xml:space="preserve">Acerca da aplicabilidade do CDC e competência do PROCON para fiscalizar e punir as serventias extrajudiciais: </w:t>
      </w:r>
    </w:p>
    <w:p w:rsidR="0002794A" w:rsidRDefault="006A629E" w:rsidP="0002794A">
      <w:pPr>
        <w:spacing w:before="100" w:beforeAutospacing="1" w:after="100" w:afterAutospacing="1"/>
        <w:ind w:left="2880"/>
        <w:jc w:val="both"/>
        <w:rPr>
          <w:rFonts w:ascii="Times New Roman" w:hAnsi="Times New Roman" w:cs="Times New Roman"/>
          <w:sz w:val="24"/>
          <w:szCs w:val="24"/>
        </w:rPr>
      </w:pPr>
      <w:r w:rsidRPr="006F568B">
        <w:rPr>
          <w:rFonts w:ascii="Times New Roman" w:hAnsi="Times New Roman" w:cs="Times New Roman"/>
          <w:sz w:val="24"/>
          <w:szCs w:val="24"/>
        </w:rPr>
        <w:t>(STF - RE: 638306 DF, Relator: Min. AYRES BRITTO, Data de Julgamento: 29/08/2011, Data de Publicação: DJe-172 DIVULG 06/09/2011 PUBLIC 08/09/2011) Distrito Federal: competência legislativa para fixação de tempo razoável de espera dos usuários dos serviços de cartórios. 1. A imposição legal de um limite ao tempo de espera em fila dos usuários dos serviços prestados pelos cartórios não constitui matéria relativa à disciplina dos registros públicos, mas assunto de interesse local, cuja competência legislativa a Constituição atribui aos Municípios, nos termos do seu art. 30, I. 2. A LD 2.529/2000, com a redação da LD 2.547/2000, não está em confronto com a Lei Federal 8.935/90 - que disciplina as atividades dos notários, dos oficiais de registro e de seus prepostos, nos termos do art. 236, § 1º, da Constituição - por tratarem de temas totalmente diversos. 3. RE conhecido e desprovido.</w:t>
      </w:r>
    </w:p>
    <w:p w:rsidR="0002794A" w:rsidRPr="006F568B" w:rsidRDefault="0002794A" w:rsidP="0002794A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Cito ainda trecho da decisão:</w:t>
      </w:r>
    </w:p>
    <w:p w:rsidR="0002794A" w:rsidRPr="0002794A" w:rsidRDefault="0002794A" w:rsidP="0002794A">
      <w:pPr>
        <w:ind w:left="2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Pr="0002794A">
        <w:rPr>
          <w:rFonts w:ascii="Times New Roman" w:hAnsi="Times New Roman" w:cs="Times New Roman"/>
          <w:sz w:val="24"/>
          <w:szCs w:val="24"/>
        </w:rPr>
        <w:t xml:space="preserve">vistos, etc. Trata-se de recurso extraordinário, interposto com suporte nas alíneas a, c e d do inciso III do art. 102 da Constituição Republicana, contra acórdão do Tribunal de Justiça do Distrito Federal e dos Territórios. Acórdão assim do (fls.85): APELAÇÃO CÍVEL. ADMINISTRATIVO. MULTA. PROCON. SERVENTIA EXTRA-OFICIAL. As serventias extra-oficiais, como qualquer outro serviço público, não estão excluídas das multas do PROCON, que são de natureza administrativa. Provimento ao Recurso do PROCON para reformar a sentença monocrática e considerar válida e eficaz a multa aplicada. Vencido o Relator, em parte, no que se refere a fixação de honorários advocatícios em Mandado de Segurança. 2. Pois bem, a parte recorrente sustenta violação ao inciso XXXV do art. 5º, ao inciso XVII do art. 22, ao inciso IX do art. 93, ao § 1º do art. 236, todos da Magna Carta de 1988. 3. A seu turno, a Procuradoria-Geral da República, em parecer da lavra do Subprocurador-Geral Paulo da Rocha Campos, opina pelo desprovimento do apelo extremo. 4. Tenho que a insurgência não merece acolhida. É que o entendimento da instância judicante de origem afina com a jurisprudência do Supremo Tribunal Federal. Leia-se, a propósito, a ementa do RE 397.094, da relatoria do ministro Sepúlveda Pertence: Distrito </w:t>
      </w:r>
      <w:r w:rsidRPr="0002794A">
        <w:rPr>
          <w:rFonts w:ascii="Times New Roman" w:hAnsi="Times New Roman" w:cs="Times New Roman"/>
          <w:sz w:val="24"/>
          <w:szCs w:val="24"/>
        </w:rPr>
        <w:lastRenderedPageBreak/>
        <w:t>Federal: competência legislativa para fixação de tempo razoável de espera dos usuários dos serviços de cartórios. 1. A imposição legal de um limite ao tempo de espera em fila dos usuários dos serviços prestados pelos cartórios não constitui matéria relativa à disciplina dos registros públicos, mas assunto de interesse local, cuja competência legislativa a Constituição atribui aos Municípios, nos termos do seu art. 30, I. 2. A LD 2.529/2000, com a redação da LD 2.547/2000, não está em confronto com a Lei Federal 8.935/90  que disciplina as atividades dos notários, dos oficiais de registro e de seus prepostos, nos termos do art. 236, § 1º, da Constituição  por tratarem de temas totalmente diversos. 3. RE conhecido e desprovido 5. Outro precedente: RE 554.773, da relatoria do ministro Gilmar Mendes. Ante o exposto, e frente ao caput do art. 557 do CPC e ao § 1º do art. 21 do RI/STF, nego seguimento ao recurso. Publique-se. Brasília, 29 de agosto de 2011.Ministro AYRES BRITTO Relator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2C7C01" w:rsidRPr="006F568B" w:rsidRDefault="00644F18" w:rsidP="006F568B">
      <w:pPr>
        <w:pBdr>
          <w:top w:val="nil"/>
          <w:left w:val="nil"/>
          <w:bottom w:val="nil"/>
          <w:right w:val="nil"/>
          <w:between w:val="nil"/>
        </w:pBd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Portanto, ponho à apreciação desta casa o referido projeto</w:t>
      </w:r>
      <w:r w:rsidR="00395E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sectPr w:rsidR="002C7C01" w:rsidRPr="006F568B">
      <w:headerReference w:type="default" r:id="rId9"/>
      <w:pgSz w:w="11907" w:h="16840"/>
      <w:pgMar w:top="2376" w:right="1701" w:bottom="1418" w:left="1701" w:header="142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4F87" w:rsidRDefault="005F4F87">
      <w:r>
        <w:separator/>
      </w:r>
    </w:p>
  </w:endnote>
  <w:endnote w:type="continuationSeparator" w:id="0">
    <w:p w:rsidR="005F4F87" w:rsidRDefault="005F4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(W1)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4F87" w:rsidRDefault="005F4F87">
      <w:r>
        <w:separator/>
      </w:r>
    </w:p>
  </w:footnote>
  <w:footnote w:type="continuationSeparator" w:id="0">
    <w:p w:rsidR="005F4F87" w:rsidRDefault="005F4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4F52" w:rsidRDefault="00D44F52">
    <w:pPr>
      <w:tabs>
        <w:tab w:val="center" w:pos="4419"/>
        <w:tab w:val="right" w:pos="8838"/>
      </w:tabs>
      <w:ind w:right="360"/>
      <w:jc w:val="center"/>
      <w:rPr>
        <w:rFonts w:ascii="Liberation Serif" w:eastAsia="Liberation Serif" w:hAnsi="Liberation Serif" w:cs="Liberation Serif"/>
        <w:sz w:val="24"/>
        <w:szCs w:val="24"/>
      </w:rPr>
    </w:pPr>
    <w:r>
      <w:rPr>
        <w:rFonts w:ascii="Liberation Serif" w:eastAsia="Liberation Serif" w:hAnsi="Liberation Serif" w:cs="Liberation Serif"/>
        <w:noProof/>
        <w:sz w:val="24"/>
        <w:szCs w:val="24"/>
      </w:rPr>
      <w:drawing>
        <wp:inline distT="0" distB="0" distL="0" distR="0">
          <wp:extent cx="956945" cy="819150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6945" cy="8191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D44F52" w:rsidRDefault="00D44F52">
    <w:pPr>
      <w:tabs>
        <w:tab w:val="center" w:pos="4419"/>
        <w:tab w:val="right" w:pos="8838"/>
      </w:tabs>
      <w:jc w:val="center"/>
      <w:rPr>
        <w:rFonts w:ascii="Century Gothic" w:eastAsia="Century Gothic" w:hAnsi="Century Gothic" w:cs="Century Gothic"/>
        <w:b/>
        <w:sz w:val="22"/>
        <w:szCs w:val="22"/>
      </w:rPr>
    </w:pPr>
    <w:r>
      <w:rPr>
        <w:rFonts w:ascii="Century Gothic" w:eastAsia="Century Gothic" w:hAnsi="Century Gothic" w:cs="Century Gothic"/>
        <w:b/>
        <w:sz w:val="22"/>
        <w:szCs w:val="22"/>
      </w:rPr>
      <w:t>ESTADO DO MARANHÃO</w:t>
    </w:r>
  </w:p>
  <w:p w:rsidR="00D44F52" w:rsidRDefault="00D44F52">
    <w:pPr>
      <w:tabs>
        <w:tab w:val="center" w:pos="4419"/>
        <w:tab w:val="right" w:pos="8838"/>
      </w:tabs>
      <w:jc w:val="center"/>
      <w:rPr>
        <w:rFonts w:ascii="Century Gothic" w:eastAsia="Century Gothic" w:hAnsi="Century Gothic" w:cs="Century Gothic"/>
        <w:b/>
        <w:sz w:val="22"/>
        <w:szCs w:val="22"/>
      </w:rPr>
    </w:pPr>
    <w:r>
      <w:rPr>
        <w:rFonts w:ascii="Century Gothic" w:eastAsia="Century Gothic" w:hAnsi="Century Gothic" w:cs="Century Gothic"/>
        <w:b/>
        <w:sz w:val="22"/>
        <w:szCs w:val="22"/>
      </w:rPr>
      <w:t>ASSEMBLEIA LEGISLATIVA DO MARANHÃO</w:t>
    </w:r>
  </w:p>
  <w:p w:rsidR="00D44F52" w:rsidRDefault="00D44F52">
    <w:pPr>
      <w:tabs>
        <w:tab w:val="center" w:pos="4419"/>
        <w:tab w:val="right" w:pos="8838"/>
      </w:tabs>
      <w:ind w:right="360"/>
      <w:jc w:val="center"/>
      <w:rPr>
        <w:rFonts w:ascii="Liberation Serif" w:eastAsia="Liberation Serif" w:hAnsi="Liberation Serif" w:cs="Liberation Serif"/>
        <w:b/>
        <w:sz w:val="22"/>
        <w:szCs w:val="22"/>
      </w:rPr>
    </w:pPr>
    <w:r>
      <w:rPr>
        <w:rFonts w:ascii="Liberation Serif" w:eastAsia="Liberation Serif" w:hAnsi="Liberation Serif" w:cs="Liberation Serif"/>
        <w:b/>
        <w:sz w:val="22"/>
        <w:szCs w:val="22"/>
      </w:rPr>
      <w:t xml:space="preserve">     GABINETE DA DEPUTADO JUSCELINO MARRECA</w:t>
    </w:r>
  </w:p>
  <w:p w:rsidR="00D44F52" w:rsidRDefault="00D44F5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05B3F"/>
    <w:multiLevelType w:val="multilevel"/>
    <w:tmpl w:val="6E4E04DE"/>
    <w:lvl w:ilvl="0">
      <w:start w:val="1"/>
      <w:numFmt w:val="upperRoman"/>
      <w:pStyle w:val="Ttulo1"/>
      <w:lvlText w:val="%1."/>
      <w:lvlJc w:val="right"/>
      <w:pPr>
        <w:ind w:left="1440" w:hanging="360"/>
      </w:pPr>
      <w:rPr>
        <w:u w:val="none"/>
      </w:rPr>
    </w:lvl>
    <w:lvl w:ilvl="1">
      <w:start w:val="1"/>
      <w:numFmt w:val="upperLetter"/>
      <w:pStyle w:val="Ttulo2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decimal"/>
      <w:pStyle w:val="Ttulo3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pStyle w:val="Ttulo4"/>
      <w:lvlText w:val="%4)"/>
      <w:lvlJc w:val="left"/>
      <w:pPr>
        <w:ind w:left="3600" w:hanging="360"/>
      </w:pPr>
      <w:rPr>
        <w:u w:val="none"/>
      </w:rPr>
    </w:lvl>
    <w:lvl w:ilvl="4">
      <w:start w:val="1"/>
      <w:numFmt w:val="decimal"/>
      <w:pStyle w:val="Ttulo5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Letter"/>
      <w:pStyle w:val="Ttulo6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Roman"/>
      <w:pStyle w:val="Ttulo7"/>
      <w:lvlText w:val="(%7)"/>
      <w:lvlJc w:val="right"/>
      <w:pPr>
        <w:ind w:left="5760" w:hanging="360"/>
      </w:pPr>
      <w:rPr>
        <w:u w:val="none"/>
      </w:rPr>
    </w:lvl>
    <w:lvl w:ilvl="7">
      <w:start w:val="1"/>
      <w:numFmt w:val="lowerLetter"/>
      <w:pStyle w:val="Ttulo8"/>
      <w:lvlText w:val="(%8)"/>
      <w:lvlJc w:val="left"/>
      <w:pPr>
        <w:ind w:left="6480" w:hanging="360"/>
      </w:pPr>
      <w:rPr>
        <w:u w:val="none"/>
      </w:rPr>
    </w:lvl>
    <w:lvl w:ilvl="8">
      <w:start w:val="1"/>
      <w:numFmt w:val="lowerRoman"/>
      <w:pStyle w:val="Ttulo9"/>
      <w:lvlText w:val="(%9)"/>
      <w:lvlJc w:val="right"/>
      <w:pPr>
        <w:ind w:left="720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AFB"/>
    <w:rsid w:val="000159EE"/>
    <w:rsid w:val="0002794A"/>
    <w:rsid w:val="000D4726"/>
    <w:rsid w:val="00106683"/>
    <w:rsid w:val="00161368"/>
    <w:rsid w:val="001619D6"/>
    <w:rsid w:val="00285E5F"/>
    <w:rsid w:val="002C7C01"/>
    <w:rsid w:val="00395E49"/>
    <w:rsid w:val="00421471"/>
    <w:rsid w:val="00423847"/>
    <w:rsid w:val="00435A75"/>
    <w:rsid w:val="004A59FC"/>
    <w:rsid w:val="005C0199"/>
    <w:rsid w:val="005F4F87"/>
    <w:rsid w:val="00644F18"/>
    <w:rsid w:val="006A629E"/>
    <w:rsid w:val="006F12ED"/>
    <w:rsid w:val="006F568B"/>
    <w:rsid w:val="007E1965"/>
    <w:rsid w:val="008C09CE"/>
    <w:rsid w:val="00982144"/>
    <w:rsid w:val="009C2082"/>
    <w:rsid w:val="00CA1A4E"/>
    <w:rsid w:val="00CB0AFB"/>
    <w:rsid w:val="00D07E68"/>
    <w:rsid w:val="00D24300"/>
    <w:rsid w:val="00D27BD8"/>
    <w:rsid w:val="00D44F52"/>
    <w:rsid w:val="00D70768"/>
    <w:rsid w:val="00E102A6"/>
    <w:rsid w:val="00E3710F"/>
    <w:rsid w:val="00E8461F"/>
    <w:rsid w:val="00F16707"/>
    <w:rsid w:val="00F4520D"/>
    <w:rsid w:val="00F54C9C"/>
    <w:rsid w:val="00FE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D69C7"/>
  <w15:docId w15:val="{7FA4D2D3-0415-4A1D-992C-43EC1548D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(W1)" w:eastAsia="Arial (W1)" w:hAnsi="Arial (W1)" w:cs="Arial (W1)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tabs>
        <w:tab w:val="left" w:pos="1080"/>
      </w:tabs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tabs>
        <w:tab w:val="left" w:pos="180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numPr>
        <w:ilvl w:val="2"/>
        <w:numId w:val="1"/>
      </w:numPr>
      <w:tabs>
        <w:tab w:val="left" w:pos="720"/>
      </w:tabs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tabs>
        <w:tab w:val="left" w:pos="864"/>
      </w:tabs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tabs>
        <w:tab w:val="left" w:pos="1008"/>
      </w:tabs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tabs>
        <w:tab w:val="left" w:pos="1152"/>
      </w:tabs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tabs>
        <w:tab w:val="left" w:pos="1296"/>
      </w:tabs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tabs>
        <w:tab w:val="left" w:pos="1440"/>
      </w:tabs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tabs>
        <w:tab w:val="left" w:pos="1584"/>
      </w:tabs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link w:val="CorpodetextoChar"/>
    <w:uiPriority w:val="99"/>
    <w:unhideWhenUsed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Pr>
      <w:rFonts w:ascii="Arial (W1)" w:hAnsi="Arial (W1)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Pr>
      <w:rFonts w:ascii="Arial (W1)" w:hAnsi="Arial (W1)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unhideWhenUsed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semiHidden/>
    <w:pPr>
      <w:ind w:left="4248"/>
    </w:pPr>
  </w:style>
  <w:style w:type="character" w:customStyle="1" w:styleId="RecuodecorpodetextoChar">
    <w:name w:val="Recuo de corpo de texto Char"/>
    <w:semiHidden/>
    <w:rPr>
      <w:rFonts w:ascii="Arial (W1)" w:hAnsi="Arial (W1)"/>
    </w:rPr>
  </w:style>
  <w:style w:type="paragraph" w:styleId="PargrafodaLista">
    <w:name w:val="List Paragraph"/>
    <w:basedOn w:val="Normal"/>
    <w:uiPriority w:val="34"/>
    <w:qFormat/>
    <w:pPr>
      <w:ind w:left="708"/>
    </w:pPr>
  </w:style>
  <w:style w:type="paragraph" w:customStyle="1" w:styleId="Standard">
    <w:name w:val="Standard"/>
    <w:pPr>
      <w:suppressAutoHyphens/>
      <w:autoSpaceDN w:val="0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Forte">
    <w:name w:val="Strong"/>
    <w:basedOn w:val="Fontepargpadro"/>
    <w:uiPriority w:val="22"/>
    <w:qFormat/>
    <w:rsid w:val="00106683"/>
    <w:rPr>
      <w:b/>
      <w:bCs/>
    </w:rPr>
  </w:style>
  <w:style w:type="character" w:styleId="Hyperlink">
    <w:name w:val="Hyperlink"/>
    <w:basedOn w:val="Fontepargpadro"/>
    <w:uiPriority w:val="99"/>
    <w:unhideWhenUsed/>
    <w:rsid w:val="00E3710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371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75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9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9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64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12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46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4dy47gKEC7niDsxNzjdhczIvrAA==">AMUW2mWqUyKXGEc+eA0dKTI83vhcbO2z2VsIsuBIDHSYLTsdInjDalZPxwPAIwGU7qO0o9A/TLz/nK6lOLFhUBvYPJgxFxLrDKx9gXaZzPcxSsn2Fz044gQ=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92B2C4C-107D-4AB5-A614-7C82B1C00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1539</Words>
  <Characters>8313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DDO</dc:creator>
  <cp:lastModifiedBy>Gabinete 204</cp:lastModifiedBy>
  <cp:revision>3</cp:revision>
  <cp:lastPrinted>2023-10-03T14:46:00Z</cp:lastPrinted>
  <dcterms:created xsi:type="dcterms:W3CDTF">2023-10-05T14:57:00Z</dcterms:created>
  <dcterms:modified xsi:type="dcterms:W3CDTF">2023-10-05T14:59:00Z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1046-11.2.0.11440</vt:lpwstr>
  </property>
  <property fmtid="{D5CDD505-2E9C-101B-9397-08002B2CF9AE}" pid="3" name="ICV">
    <vt:lpwstr>6B54D946EBCE44B1B52D44CAE1F99090</vt:lpwstr>
  </property>
</Properties>
</file>