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039" w:rsidRDefault="00473039" w:rsidP="00473039">
      <w:pPr>
        <w:pBdr>
          <w:top w:val="nil"/>
          <w:left w:val="nil"/>
          <w:bottom w:val="nil"/>
          <w:right w:val="nil"/>
          <w:between w:val="nil"/>
        </w:pBdr>
        <w:jc w:val="center"/>
        <w:rPr>
          <w:rFonts w:ascii="Times New Roman" w:eastAsia="Times New Roman" w:hAnsi="Times New Roman" w:cs="Times New Roman"/>
          <w:bCs/>
          <w:color w:val="000000"/>
          <w:sz w:val="24"/>
          <w:szCs w:val="24"/>
        </w:rPr>
      </w:pPr>
      <w:bookmarkStart w:id="0" w:name="_GoBack"/>
      <w:bookmarkEnd w:id="0"/>
    </w:p>
    <w:p w:rsidR="00D07E68" w:rsidRDefault="00473039" w:rsidP="00473039">
      <w:pPr>
        <w:pBdr>
          <w:top w:val="nil"/>
          <w:left w:val="nil"/>
          <w:bottom w:val="nil"/>
          <w:right w:val="nil"/>
          <w:between w:val="nil"/>
        </w:pBdr>
        <w:jc w:val="center"/>
        <w:rPr>
          <w:rFonts w:ascii="Times New Roman" w:eastAsia="Times New Roman" w:hAnsi="Times New Roman" w:cs="Times New Roman"/>
          <w:bCs/>
          <w:color w:val="000000"/>
          <w:sz w:val="24"/>
          <w:szCs w:val="24"/>
        </w:rPr>
      </w:pPr>
      <w:r w:rsidRPr="00473039">
        <w:rPr>
          <w:rFonts w:ascii="Times New Roman" w:eastAsia="Times New Roman" w:hAnsi="Times New Roman" w:cs="Times New Roman"/>
          <w:bCs/>
          <w:color w:val="000000"/>
          <w:sz w:val="24"/>
          <w:szCs w:val="24"/>
        </w:rPr>
        <w:t>PROJETO DE LEI Nº ___/2023</w:t>
      </w:r>
    </w:p>
    <w:p w:rsidR="00473039" w:rsidRPr="00473039" w:rsidRDefault="00473039" w:rsidP="00473039">
      <w:pPr>
        <w:pBdr>
          <w:top w:val="nil"/>
          <w:left w:val="nil"/>
          <w:bottom w:val="nil"/>
          <w:right w:val="nil"/>
          <w:between w:val="nil"/>
        </w:pBdr>
        <w:rPr>
          <w:rFonts w:ascii="Times New Roman" w:eastAsia="Times New Roman" w:hAnsi="Times New Roman" w:cs="Times New Roman"/>
          <w:bCs/>
          <w:color w:val="000000"/>
          <w:sz w:val="24"/>
          <w:szCs w:val="24"/>
        </w:rPr>
      </w:pPr>
    </w:p>
    <w:p w:rsidR="00473039" w:rsidRPr="005C027A" w:rsidRDefault="00473039" w:rsidP="00473039">
      <w:pPr>
        <w:spacing w:before="100" w:beforeAutospacing="1" w:after="100" w:afterAutospacing="1"/>
        <w:ind w:left="3600"/>
        <w:jc w:val="both"/>
        <w:rPr>
          <w:rFonts w:ascii="Times New Roman" w:hAnsi="Times New Roman" w:cs="Times New Roman"/>
          <w:b/>
          <w:bCs/>
          <w:sz w:val="24"/>
          <w:szCs w:val="24"/>
        </w:rPr>
      </w:pPr>
      <w:r w:rsidRPr="005C027A">
        <w:rPr>
          <w:rFonts w:ascii="Times New Roman" w:hAnsi="Times New Roman" w:cs="Times New Roman"/>
          <w:b/>
          <w:bCs/>
          <w:sz w:val="24"/>
          <w:szCs w:val="24"/>
        </w:rPr>
        <w:t>DISCIPLINA A UTILIZAÇÃO DE AMÁLGAMAS DE MERCÚRIO EM PROCEDIMENTOS ODONTOLÓGICOS NO ESTADO DO MARANHÃO.</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Art. 1º Esta lei disciplina a utilização de amálgamas de mercúrio em procedimentos odontológicos no estado do Maranhão. </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2º É vedada, em todo território do estado do Maranhão, a realização de procedimentos odontológicos utilizando amálgamas de mercúrio em:</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 - </w:t>
      </w:r>
      <w:proofErr w:type="gramStart"/>
      <w:r w:rsidRPr="005C027A">
        <w:rPr>
          <w:rFonts w:ascii="Times New Roman" w:hAnsi="Times New Roman" w:cs="Times New Roman"/>
          <w:sz w:val="24"/>
          <w:szCs w:val="24"/>
        </w:rPr>
        <w:t>mulheres</w:t>
      </w:r>
      <w:proofErr w:type="gramEnd"/>
      <w:r w:rsidRPr="005C027A">
        <w:rPr>
          <w:rFonts w:ascii="Times New Roman" w:hAnsi="Times New Roman" w:cs="Times New Roman"/>
          <w:sz w:val="24"/>
          <w:szCs w:val="24"/>
        </w:rPr>
        <w:t xml:space="preserve"> gestantes, lactantes ou em idade reprodutiva;</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II - </w:t>
      </w:r>
      <w:proofErr w:type="gramStart"/>
      <w:r w:rsidRPr="005C027A">
        <w:rPr>
          <w:rFonts w:ascii="Times New Roman" w:hAnsi="Times New Roman" w:cs="Times New Roman"/>
          <w:sz w:val="24"/>
          <w:szCs w:val="24"/>
        </w:rPr>
        <w:t>crianças</w:t>
      </w:r>
      <w:proofErr w:type="gramEnd"/>
      <w:r w:rsidRPr="005C027A">
        <w:rPr>
          <w:rFonts w:ascii="Times New Roman" w:hAnsi="Times New Roman" w:cs="Times New Roman"/>
          <w:sz w:val="24"/>
          <w:szCs w:val="24"/>
        </w:rPr>
        <w:t xml:space="preserve"> e adolescentes menores de 14 anos de idade;</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III - pessoas com doenças neurológicas ou renais;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IV - </w:t>
      </w:r>
      <w:proofErr w:type="gramStart"/>
      <w:r w:rsidRPr="005C027A">
        <w:rPr>
          <w:rFonts w:ascii="Times New Roman" w:hAnsi="Times New Roman" w:cs="Times New Roman"/>
          <w:sz w:val="24"/>
          <w:szCs w:val="24"/>
        </w:rPr>
        <w:t>pessoas</w:t>
      </w:r>
      <w:proofErr w:type="gramEnd"/>
      <w:r w:rsidRPr="005C027A">
        <w:rPr>
          <w:rFonts w:ascii="Times New Roman" w:hAnsi="Times New Roman" w:cs="Times New Roman"/>
          <w:sz w:val="24"/>
          <w:szCs w:val="24"/>
        </w:rPr>
        <w:t xml:space="preserve"> com antecedentes de exposição prolongada ao mercúrio ou diagnóstico prévio de</w:t>
      </w:r>
      <w:r>
        <w:rPr>
          <w:rFonts w:ascii="Times New Roman" w:hAnsi="Times New Roman" w:cs="Times New Roman"/>
          <w:sz w:val="24"/>
          <w:szCs w:val="24"/>
        </w:rPr>
        <w:t xml:space="preserve"> </w:t>
      </w:r>
      <w:r w:rsidRPr="005C027A">
        <w:rPr>
          <w:rFonts w:ascii="Times New Roman" w:hAnsi="Times New Roman" w:cs="Times New Roman"/>
          <w:sz w:val="24"/>
          <w:szCs w:val="24"/>
        </w:rPr>
        <w:t>intoxicação pelo mercúrio.</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3º A utilização de amálgamas de mercúrio em procedimentos odontológicos deverá ser totalmente abolida no prazo de 3 (três) anos, a partir da publicação desta lei.</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Parágrafo único. Durante este prazo será permitida a utilização apenas de amálgamas de mercúrio na forma capsulada.</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4º Os profissionais responsáveis pelos serviços de odontologia, públicos ou privados, que utilizam amálgamas de mercúrio deverão elaborar no prazo de 90 (noventa) dias contados da publicação desta lei seu Plano de Redução Gradativa do Uso de Amálgamas Dentários.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1º O Plano de Redução Gradativa do Uso de Amálgamas Dentários deverá conter:</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 - </w:t>
      </w:r>
      <w:proofErr w:type="gramStart"/>
      <w:r w:rsidRPr="005C027A">
        <w:rPr>
          <w:rFonts w:ascii="Times New Roman" w:hAnsi="Times New Roman" w:cs="Times New Roman"/>
          <w:sz w:val="24"/>
          <w:szCs w:val="24"/>
        </w:rPr>
        <w:t>o</w:t>
      </w:r>
      <w:proofErr w:type="gramEnd"/>
      <w:r w:rsidRPr="005C027A">
        <w:rPr>
          <w:rFonts w:ascii="Times New Roman" w:hAnsi="Times New Roman" w:cs="Times New Roman"/>
          <w:sz w:val="24"/>
          <w:szCs w:val="24"/>
        </w:rPr>
        <w:t xml:space="preserve"> cronograma de substituição deste material por outros produtos adequados ao mesmo fim;</w:t>
      </w:r>
    </w:p>
    <w:p w:rsidR="00473039" w:rsidRPr="005C027A" w:rsidRDefault="005C027A" w:rsidP="00473039">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II - </w:t>
      </w:r>
      <w:proofErr w:type="gramStart"/>
      <w:r w:rsidRPr="005C027A">
        <w:rPr>
          <w:rFonts w:ascii="Times New Roman" w:hAnsi="Times New Roman" w:cs="Times New Roman"/>
          <w:sz w:val="24"/>
          <w:szCs w:val="24"/>
        </w:rPr>
        <w:t>a</w:t>
      </w:r>
      <w:proofErr w:type="gramEnd"/>
      <w:r w:rsidRPr="005C027A">
        <w:rPr>
          <w:rFonts w:ascii="Times New Roman" w:hAnsi="Times New Roman" w:cs="Times New Roman"/>
          <w:sz w:val="24"/>
          <w:szCs w:val="24"/>
        </w:rPr>
        <w:t xml:space="preserve"> destinação das sobras de mercúrio e amálgama.</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2º O Plano de Redução Gradativa do Uso de Amálgamas Dentários deverá ser encaminhado aos órgãos de fiscalização que têm a atribuição legal fiscalizar e controlar o uso de mercúrio, incluindo:</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I - Conselho Regional de Odontologia (CRO) ao qual o estabelecimento esteja vinculado;</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lastRenderedPageBreak/>
        <w:t xml:space="preserve">II - Secretária de Saúde do Estado </w:t>
      </w:r>
      <w:r>
        <w:rPr>
          <w:rFonts w:ascii="Times New Roman" w:hAnsi="Times New Roman" w:cs="Times New Roman"/>
          <w:sz w:val="24"/>
          <w:szCs w:val="24"/>
        </w:rPr>
        <w:t>do Maranhão</w:t>
      </w:r>
      <w:r w:rsidRPr="005C027A">
        <w:rPr>
          <w:rFonts w:ascii="Times New Roman" w:hAnsi="Times New Roman" w:cs="Times New Roman"/>
          <w:sz w:val="24"/>
          <w:szCs w:val="24"/>
        </w:rPr>
        <w:t xml:space="preserve"> e Centro de Vigilância Sanitária.</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3º O Plano de Redução Gradativa do Uso de Amálgamas Dentários deve ser mantido pelo prazo de 10 (dez) anos, durante o qual deverá ser apresentado sempre que solicitado pelas autoridades responsáveis pela fiscalização em seus respectivos âmbitos de atuação.</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5º É vedado o descarte no meio ambiente de sobras de mercúrio e de amálgamas.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1º As sobras de mercúrio e de amálgamas deverão ser totalmente recolhidas, acondicionadas em recipientes herméticos e encaminhadas para tratamento adequado conforme a legislação vigente.</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2º. A quantidade de sobras de mercúrio e amálgama armazenada no estabelecimento responsável pela sua geração não poderá exceder 500 (quinhentas) gramas.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6º As empresas responsáveis pela destinação final ambientalmente adequada do mercúrio não poderão comercializar o metal eventualmente recuperado; devendo informar a quantidade, procedência e destinação de cada lote aos órgãos de vigilância sanitária.</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Art. 7º O processo de tratamento e a destinação final ambientalmente adequada do mercúrio recuperado serão regulamentados, nos moldes da Convenção de </w:t>
      </w:r>
      <w:proofErr w:type="spellStart"/>
      <w:r w:rsidRPr="005C027A">
        <w:rPr>
          <w:rFonts w:ascii="Times New Roman" w:hAnsi="Times New Roman" w:cs="Times New Roman"/>
          <w:sz w:val="24"/>
          <w:szCs w:val="24"/>
        </w:rPr>
        <w:t>Minamata</w:t>
      </w:r>
      <w:proofErr w:type="spellEnd"/>
      <w:r w:rsidRPr="005C027A">
        <w:rPr>
          <w:rFonts w:ascii="Times New Roman" w:hAnsi="Times New Roman" w:cs="Times New Roman"/>
          <w:sz w:val="24"/>
          <w:szCs w:val="24"/>
        </w:rPr>
        <w:t>.</w:t>
      </w:r>
    </w:p>
    <w:p w:rsidR="00473039"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8º. Cabe ao poder público estadual:</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 - </w:t>
      </w:r>
      <w:proofErr w:type="gramStart"/>
      <w:r w:rsidRPr="005C027A">
        <w:rPr>
          <w:rFonts w:ascii="Times New Roman" w:hAnsi="Times New Roman" w:cs="Times New Roman"/>
          <w:sz w:val="24"/>
          <w:szCs w:val="24"/>
        </w:rPr>
        <w:t>estabelecer</w:t>
      </w:r>
      <w:proofErr w:type="gramEnd"/>
      <w:r w:rsidRPr="005C027A">
        <w:rPr>
          <w:rFonts w:ascii="Times New Roman" w:hAnsi="Times New Roman" w:cs="Times New Roman"/>
          <w:sz w:val="24"/>
          <w:szCs w:val="24"/>
        </w:rPr>
        <w:t xml:space="preserve"> políticas e programas que favoreçam o uso de alternativas às amálgamas dentárias em procedimentos odontológicos;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II - </w:t>
      </w:r>
      <w:proofErr w:type="gramStart"/>
      <w:r w:rsidRPr="005C027A">
        <w:rPr>
          <w:rFonts w:ascii="Times New Roman" w:hAnsi="Times New Roman" w:cs="Times New Roman"/>
          <w:sz w:val="24"/>
          <w:szCs w:val="24"/>
        </w:rPr>
        <w:t>promover</w:t>
      </w:r>
      <w:proofErr w:type="gramEnd"/>
      <w:r w:rsidRPr="005C027A">
        <w:rPr>
          <w:rFonts w:ascii="Times New Roman" w:hAnsi="Times New Roman" w:cs="Times New Roman"/>
          <w:sz w:val="24"/>
          <w:szCs w:val="24"/>
        </w:rPr>
        <w:t xml:space="preserve"> em conjunto com representantes de órgãos e entidades públicas e privadas, formas de esclarecimento e conscientização dos profissionais e alunos da área de odontologia sobre riscos e perigos do mercúrio e na promoção de melhores práticas alternativas sem mercúrio para restaurações dentárias.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9º. Considera-se infração sanitária o descumprimento do previsto nesta lei, sem prejuízo de outras sanções cabíveis.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10 Esta Lei será regulamentada em até 90 dias de sua publicação.</w:t>
      </w:r>
    </w:p>
    <w:p w:rsidR="00473039" w:rsidRDefault="005C027A" w:rsidP="00473039">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Art. 11 Esta Lei entra em vigor na data de sua publicação.</w:t>
      </w:r>
    </w:p>
    <w:p w:rsidR="00473039" w:rsidRDefault="004A59FC" w:rsidP="00473039">
      <w:pPr>
        <w:spacing w:before="100" w:beforeAutospacing="1" w:after="100" w:afterAutospacing="1"/>
        <w:jc w:val="both"/>
        <w:rPr>
          <w:rFonts w:ascii="Times New Roman" w:hAnsi="Times New Roman" w:cs="Times New Roman"/>
          <w:sz w:val="24"/>
          <w:szCs w:val="24"/>
        </w:rPr>
      </w:pPr>
      <w:r w:rsidRPr="006F568B">
        <w:rPr>
          <w:rFonts w:ascii="Times New Roman" w:hAnsi="Times New Roman" w:cs="Times New Roman"/>
          <w:b/>
          <w:bCs/>
          <w:sz w:val="24"/>
          <w:szCs w:val="24"/>
        </w:rPr>
        <w:t>PLENÁRIO DEPUTADO “NAGIB HAICKEL” DO PALÁCIO “MANUEL BECKMAN”</w:t>
      </w:r>
      <w:r w:rsidR="00D07E68" w:rsidRPr="006F568B">
        <w:rPr>
          <w:rFonts w:ascii="Times New Roman" w:hAnsi="Times New Roman" w:cs="Times New Roman"/>
          <w:b/>
          <w:bCs/>
          <w:sz w:val="24"/>
          <w:szCs w:val="24"/>
        </w:rPr>
        <w:t>,</w:t>
      </w:r>
      <w:r w:rsidR="00076D4B">
        <w:rPr>
          <w:rFonts w:ascii="Times New Roman" w:hAnsi="Times New Roman" w:cs="Times New Roman"/>
          <w:b/>
          <w:bCs/>
          <w:sz w:val="24"/>
          <w:szCs w:val="24"/>
        </w:rPr>
        <w:t xml:space="preserve"> </w:t>
      </w:r>
      <w:r w:rsidR="00076D4B" w:rsidRPr="00076D4B">
        <w:rPr>
          <w:rFonts w:ascii="Times New Roman" w:hAnsi="Times New Roman" w:cs="Times New Roman"/>
          <w:sz w:val="24"/>
          <w:szCs w:val="24"/>
        </w:rPr>
        <w:t>31 de outubro de 2023.</w:t>
      </w:r>
    </w:p>
    <w:p w:rsidR="00473039" w:rsidRPr="00473039" w:rsidRDefault="00473039" w:rsidP="00473039">
      <w:pPr>
        <w:spacing w:before="100" w:beforeAutospacing="1" w:after="100" w:afterAutospacing="1"/>
        <w:jc w:val="both"/>
        <w:rPr>
          <w:rFonts w:ascii="Times New Roman" w:hAnsi="Times New Roman" w:cs="Times New Roman"/>
          <w:sz w:val="24"/>
          <w:szCs w:val="24"/>
        </w:rPr>
      </w:pPr>
    </w:p>
    <w:p w:rsidR="004A59FC" w:rsidRPr="006F568B" w:rsidRDefault="004A59FC" w:rsidP="006F568B">
      <w:pPr>
        <w:jc w:val="center"/>
        <w:rPr>
          <w:rFonts w:ascii="Times New Roman" w:hAnsi="Times New Roman" w:cs="Times New Roman"/>
          <w:b/>
          <w:bCs/>
          <w:sz w:val="24"/>
          <w:szCs w:val="24"/>
        </w:rPr>
      </w:pPr>
      <w:r w:rsidRPr="006F568B">
        <w:rPr>
          <w:rFonts w:ascii="Times New Roman" w:hAnsi="Times New Roman" w:cs="Times New Roman"/>
          <w:b/>
          <w:bCs/>
          <w:sz w:val="24"/>
          <w:szCs w:val="24"/>
        </w:rPr>
        <w:t>JUSCELINO MARRECA</w:t>
      </w:r>
    </w:p>
    <w:p w:rsidR="006A629E" w:rsidRDefault="004A59FC" w:rsidP="00473039">
      <w:pPr>
        <w:jc w:val="center"/>
        <w:rPr>
          <w:rFonts w:ascii="Times New Roman" w:hAnsi="Times New Roman" w:cs="Times New Roman"/>
          <w:b/>
          <w:bCs/>
          <w:sz w:val="24"/>
          <w:szCs w:val="24"/>
        </w:rPr>
      </w:pPr>
      <w:r w:rsidRPr="006F568B">
        <w:rPr>
          <w:rFonts w:ascii="Times New Roman" w:hAnsi="Times New Roman" w:cs="Times New Roman"/>
          <w:b/>
          <w:bCs/>
          <w:sz w:val="24"/>
          <w:szCs w:val="24"/>
        </w:rPr>
        <w:t>Deputado Estadua</w:t>
      </w:r>
      <w:r w:rsidR="00473039">
        <w:rPr>
          <w:rFonts w:ascii="Times New Roman" w:hAnsi="Times New Roman" w:cs="Times New Roman"/>
          <w:b/>
          <w:bCs/>
          <w:sz w:val="24"/>
          <w:szCs w:val="24"/>
        </w:rPr>
        <w:t>l</w:t>
      </w:r>
    </w:p>
    <w:p w:rsidR="006A629E" w:rsidRDefault="006A629E" w:rsidP="006F568B">
      <w:pPr>
        <w:jc w:val="center"/>
        <w:rPr>
          <w:rFonts w:ascii="Times New Roman" w:hAnsi="Times New Roman" w:cs="Times New Roman"/>
          <w:b/>
          <w:bCs/>
          <w:sz w:val="24"/>
          <w:szCs w:val="24"/>
        </w:rPr>
      </w:pPr>
    </w:p>
    <w:p w:rsidR="006A629E" w:rsidRDefault="006A629E" w:rsidP="006F568B">
      <w:pPr>
        <w:jc w:val="center"/>
        <w:rPr>
          <w:rFonts w:ascii="Times New Roman" w:hAnsi="Times New Roman" w:cs="Times New Roman"/>
          <w:b/>
          <w:bCs/>
          <w:sz w:val="24"/>
          <w:szCs w:val="24"/>
        </w:rPr>
      </w:pPr>
    </w:p>
    <w:p w:rsidR="00473039" w:rsidRDefault="00473039" w:rsidP="006F568B">
      <w:pPr>
        <w:jc w:val="center"/>
        <w:rPr>
          <w:rFonts w:ascii="Times New Roman" w:hAnsi="Times New Roman" w:cs="Times New Roman"/>
          <w:b/>
          <w:bCs/>
          <w:sz w:val="24"/>
          <w:szCs w:val="24"/>
        </w:rPr>
      </w:pPr>
    </w:p>
    <w:p w:rsidR="00473039" w:rsidRDefault="00473039" w:rsidP="006F568B">
      <w:pPr>
        <w:jc w:val="center"/>
        <w:rPr>
          <w:rFonts w:ascii="Times New Roman" w:hAnsi="Times New Roman" w:cs="Times New Roman"/>
          <w:b/>
          <w:bCs/>
          <w:sz w:val="24"/>
          <w:szCs w:val="24"/>
        </w:rPr>
      </w:pPr>
    </w:p>
    <w:p w:rsidR="00473039" w:rsidRPr="006F568B" w:rsidRDefault="00473039" w:rsidP="00473039">
      <w:pPr>
        <w:rPr>
          <w:rFonts w:ascii="Times New Roman" w:hAnsi="Times New Roman" w:cs="Times New Roman"/>
          <w:b/>
          <w:bCs/>
          <w:sz w:val="24"/>
          <w:szCs w:val="24"/>
        </w:rPr>
      </w:pPr>
    </w:p>
    <w:p w:rsidR="005C027A" w:rsidRDefault="006A629E" w:rsidP="005C027A">
      <w:pPr>
        <w:spacing w:before="100" w:beforeAutospacing="1" w:after="100" w:afterAutospacing="1"/>
        <w:jc w:val="center"/>
        <w:rPr>
          <w:rFonts w:ascii="Times New Roman" w:hAnsi="Times New Roman" w:cs="Times New Roman"/>
          <w:b/>
          <w:bCs/>
          <w:sz w:val="24"/>
          <w:szCs w:val="24"/>
        </w:rPr>
      </w:pPr>
      <w:r w:rsidRPr="006F568B">
        <w:rPr>
          <w:rFonts w:ascii="Times New Roman" w:hAnsi="Times New Roman" w:cs="Times New Roman"/>
          <w:b/>
          <w:bCs/>
          <w:sz w:val="24"/>
          <w:szCs w:val="24"/>
        </w:rPr>
        <w:t>JUSTIFICATIVA</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O mercúrio (Hg) é um elemento químico classificado como um metal, conhecido por ser denso e ter um brilho prateado. Sob condições normais de temperatura e pressão, ele assume a forma líquida. O aumento no uso do mercúrio resultou na perturbação das taxas naturais previamente observadas nos componentes ambientais (água, solo e ar), levando a um aumento na sua disponibilidade e resultando na sua acumulação e transformação nos organismos e na cadeia alimentar. Esses acontecimentos </w:t>
      </w:r>
      <w:proofErr w:type="gramStart"/>
      <w:r w:rsidRPr="005C027A">
        <w:rPr>
          <w:rFonts w:ascii="Times New Roman" w:hAnsi="Times New Roman" w:cs="Times New Roman"/>
          <w:sz w:val="24"/>
          <w:szCs w:val="24"/>
        </w:rPr>
        <w:t>criaram novas</w:t>
      </w:r>
      <w:proofErr w:type="gramEnd"/>
      <w:r w:rsidRPr="005C027A">
        <w:rPr>
          <w:rFonts w:ascii="Times New Roman" w:hAnsi="Times New Roman" w:cs="Times New Roman"/>
          <w:sz w:val="24"/>
          <w:szCs w:val="24"/>
        </w:rPr>
        <w:t xml:space="preserve"> vias de exposição e contato, afetando diretamente os seres humanos.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Como resultado passou-se a observar a intoxicação pelo mercúrio de forma aguda, causada pela exposição às altas concentrações ou a crônica, pela exposição contínua a baixos níveis e que causa alterações deletérias no sistema nervoso central e periférico, sistema endócrino, digestivo, ocular, renal, dermatites, entre outras. O metil mercúrio classificado pelo IARC como possivelmente cancerígeno para humanos.</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Foi desenvolvida e ratificada uma Convenção Internacional, conhecida como "Convenção de </w:t>
      </w:r>
      <w:proofErr w:type="spellStart"/>
      <w:r w:rsidRPr="005C027A">
        <w:rPr>
          <w:rFonts w:ascii="Times New Roman" w:hAnsi="Times New Roman" w:cs="Times New Roman"/>
          <w:sz w:val="24"/>
          <w:szCs w:val="24"/>
        </w:rPr>
        <w:t>Minamata</w:t>
      </w:r>
      <w:proofErr w:type="spellEnd"/>
      <w:r w:rsidRPr="005C027A">
        <w:rPr>
          <w:rFonts w:ascii="Times New Roman" w:hAnsi="Times New Roman" w:cs="Times New Roman"/>
          <w:sz w:val="24"/>
          <w:szCs w:val="24"/>
        </w:rPr>
        <w:t>", com o objetivo de regular e eliminar a produção e o emprego do mercúrio em escala global. Diversos setores já deram início ao processo de eliminação do mercúrio, conforme estipulado por esta convenção. No entanto, a odontologia representa um dos setores de maior consumo desse metal em todo o mundo.</w:t>
      </w:r>
    </w:p>
    <w:p w:rsidR="005C027A" w:rsidRPr="005C027A"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Através do Decreto nº 9.470, datado de 14 de agosto de 2018, o Brasil oficializou sua adesão à</w:t>
      </w:r>
      <w:r>
        <w:rPr>
          <w:rFonts w:ascii="Times New Roman" w:hAnsi="Times New Roman" w:cs="Times New Roman"/>
          <w:sz w:val="24"/>
          <w:szCs w:val="24"/>
        </w:rPr>
        <w:t xml:space="preserve"> </w:t>
      </w:r>
      <w:r w:rsidRPr="005C027A">
        <w:rPr>
          <w:rFonts w:ascii="Times New Roman" w:hAnsi="Times New Roman" w:cs="Times New Roman"/>
          <w:sz w:val="24"/>
          <w:szCs w:val="24"/>
        </w:rPr>
        <w:t xml:space="preserve">Convenção de </w:t>
      </w:r>
      <w:proofErr w:type="spellStart"/>
      <w:r w:rsidRPr="005C027A">
        <w:rPr>
          <w:rFonts w:ascii="Times New Roman" w:hAnsi="Times New Roman" w:cs="Times New Roman"/>
          <w:sz w:val="24"/>
          <w:szCs w:val="24"/>
        </w:rPr>
        <w:t>Minamata</w:t>
      </w:r>
      <w:proofErr w:type="spellEnd"/>
      <w:r w:rsidRPr="005C027A">
        <w:rPr>
          <w:rFonts w:ascii="Times New Roman" w:hAnsi="Times New Roman" w:cs="Times New Roman"/>
          <w:sz w:val="24"/>
          <w:szCs w:val="24"/>
        </w:rPr>
        <w:t>. São exigidas precauções a serem adotadas em relação ao uso de</w:t>
      </w:r>
      <w:r>
        <w:rPr>
          <w:rFonts w:ascii="Times New Roman" w:hAnsi="Times New Roman" w:cs="Times New Roman"/>
          <w:sz w:val="24"/>
          <w:szCs w:val="24"/>
        </w:rPr>
        <w:t xml:space="preserve"> </w:t>
      </w:r>
      <w:r w:rsidRPr="005C027A">
        <w:rPr>
          <w:rFonts w:ascii="Times New Roman" w:hAnsi="Times New Roman" w:cs="Times New Roman"/>
          <w:sz w:val="24"/>
          <w:szCs w:val="24"/>
        </w:rPr>
        <w:t>amálgama de mercúrio na odontologia até sua substituição por materiais já disponíveis e considerados mais seguros para a saúde humana e o meio ambiente, conforme estipulado na Convenção.</w:t>
      </w:r>
    </w:p>
    <w:p w:rsidR="00076D4B" w:rsidRDefault="005C027A" w:rsidP="005C027A">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A União Europeia já proibiu o uso de amálgama de mercúrio em crianças, mulheres grávidas e</w:t>
      </w:r>
      <w:r>
        <w:rPr>
          <w:rFonts w:ascii="Times New Roman" w:hAnsi="Times New Roman" w:cs="Times New Roman"/>
          <w:sz w:val="24"/>
          <w:szCs w:val="24"/>
        </w:rPr>
        <w:t xml:space="preserve"> </w:t>
      </w:r>
      <w:r w:rsidRPr="005C027A">
        <w:rPr>
          <w:rFonts w:ascii="Times New Roman" w:hAnsi="Times New Roman" w:cs="Times New Roman"/>
          <w:sz w:val="24"/>
          <w:szCs w:val="24"/>
        </w:rPr>
        <w:t>pessoas com condições médicas específicas pré-existentes. Além disso, está considerando a</w:t>
      </w:r>
      <w:r>
        <w:rPr>
          <w:rFonts w:ascii="Times New Roman" w:hAnsi="Times New Roman" w:cs="Times New Roman"/>
          <w:sz w:val="24"/>
          <w:szCs w:val="24"/>
        </w:rPr>
        <w:t xml:space="preserve"> </w:t>
      </w:r>
      <w:r w:rsidRPr="005C027A">
        <w:rPr>
          <w:rFonts w:ascii="Times New Roman" w:hAnsi="Times New Roman" w:cs="Times New Roman"/>
          <w:sz w:val="24"/>
          <w:szCs w:val="24"/>
        </w:rPr>
        <w:t>eliminação completa do uso desse material em toda a população. Países como Suécia, Noruega e Dinamarca já implementaram a proibição total do uso de amálgama em suas populações. A FDA (Administração de Alimentos e Medicamentos) dos Estados Unidos emitiu uma recomendação desfavorável ao uso de amálgama em indivíduos que estão mais suscetíveis aos efeitos adversos da exposição ao mercúrio, contemplados no presente projeto.</w:t>
      </w:r>
    </w:p>
    <w:p w:rsidR="005C027A" w:rsidRPr="005C027A" w:rsidRDefault="005C027A" w:rsidP="00473039">
      <w:pPr>
        <w:spacing w:before="100" w:beforeAutospacing="1" w:after="100" w:afterAutospacing="1"/>
        <w:jc w:val="both"/>
        <w:rPr>
          <w:rFonts w:ascii="Times New Roman" w:hAnsi="Times New Roman" w:cs="Times New Roman"/>
          <w:sz w:val="24"/>
          <w:szCs w:val="24"/>
        </w:rPr>
      </w:pPr>
      <w:r w:rsidRPr="005C027A">
        <w:rPr>
          <w:rFonts w:ascii="Times New Roman" w:hAnsi="Times New Roman" w:cs="Times New Roman"/>
          <w:sz w:val="24"/>
          <w:szCs w:val="24"/>
        </w:rPr>
        <w:t xml:space="preserve">Ante ao compromisso de vanguarda do Estado do Maranhão, bem como atenção as normativas ambientais e de direito à Saúde, imperativa a aprovação da presente lei. Não obstante, vale ressaltar em 2019, foi vedado o uso de mercúrio para a composição de liga de amálgama na forma não encapsulada. A ANVISA divulgou, a Resolução RDC nº </w:t>
      </w:r>
      <w:r w:rsidRPr="005C027A">
        <w:rPr>
          <w:rFonts w:ascii="Times New Roman" w:hAnsi="Times New Roman" w:cs="Times New Roman"/>
          <w:sz w:val="24"/>
          <w:szCs w:val="24"/>
        </w:rPr>
        <w:lastRenderedPageBreak/>
        <w:t>173/17, a qual proíbe a fabricação, importação, comercialização e utilização, em estabelecimentos de saúde, dos componentes mercúrio e pó para liga de amálgama sem encapsulamento.</w:t>
      </w:r>
      <w:r w:rsidR="00076D4B">
        <w:rPr>
          <w:rFonts w:ascii="Times New Roman" w:hAnsi="Times New Roman" w:cs="Times New Roman"/>
          <w:sz w:val="24"/>
          <w:szCs w:val="24"/>
        </w:rPr>
        <w:t xml:space="preserve"> </w:t>
      </w:r>
      <w:r w:rsidRPr="005C027A">
        <w:rPr>
          <w:rFonts w:ascii="Times New Roman" w:hAnsi="Times New Roman" w:cs="Times New Roman"/>
          <w:sz w:val="24"/>
          <w:szCs w:val="24"/>
        </w:rPr>
        <w:t>Assim, imperativa a proibição definitiva no estado do Maranhão, com objetivo de assegurar a saúde da população.</w:t>
      </w:r>
    </w:p>
    <w:p w:rsidR="002C7C01" w:rsidRDefault="002C7C01" w:rsidP="005C027A">
      <w:pPr>
        <w:spacing w:before="100" w:beforeAutospacing="1" w:after="100" w:afterAutospacing="1"/>
        <w:ind w:firstLine="720"/>
        <w:rPr>
          <w:rFonts w:ascii="Times New Roman" w:hAnsi="Times New Roman" w:cs="Times New Roman"/>
          <w:sz w:val="24"/>
          <w:szCs w:val="24"/>
        </w:rPr>
      </w:pPr>
    </w:p>
    <w:p w:rsidR="00473039" w:rsidRDefault="00473039" w:rsidP="00473039">
      <w:pPr>
        <w:spacing w:before="100" w:beforeAutospacing="1" w:after="100" w:afterAutospacing="1"/>
        <w:jc w:val="both"/>
        <w:rPr>
          <w:rFonts w:ascii="Times New Roman" w:hAnsi="Times New Roman" w:cs="Times New Roman"/>
          <w:sz w:val="24"/>
          <w:szCs w:val="24"/>
        </w:rPr>
      </w:pPr>
      <w:r w:rsidRPr="006F568B">
        <w:rPr>
          <w:rFonts w:ascii="Times New Roman" w:hAnsi="Times New Roman" w:cs="Times New Roman"/>
          <w:b/>
          <w:bCs/>
          <w:sz w:val="24"/>
          <w:szCs w:val="24"/>
        </w:rPr>
        <w:t>PLENÁRIO DEPUTADO “NAGIB HAICKEL” DO PALÁCIO “MANUEL BECKMAN”,</w:t>
      </w:r>
      <w:r>
        <w:rPr>
          <w:rFonts w:ascii="Times New Roman" w:hAnsi="Times New Roman" w:cs="Times New Roman"/>
          <w:b/>
          <w:bCs/>
          <w:sz w:val="24"/>
          <w:szCs w:val="24"/>
        </w:rPr>
        <w:t xml:space="preserve"> </w:t>
      </w:r>
      <w:r w:rsidRPr="00076D4B">
        <w:rPr>
          <w:rFonts w:ascii="Times New Roman" w:hAnsi="Times New Roman" w:cs="Times New Roman"/>
          <w:sz w:val="24"/>
          <w:szCs w:val="24"/>
        </w:rPr>
        <w:t>31 de outubro de 2023.</w:t>
      </w:r>
    </w:p>
    <w:p w:rsidR="00473039" w:rsidRPr="00473039" w:rsidRDefault="00473039" w:rsidP="00473039">
      <w:pPr>
        <w:spacing w:before="100" w:beforeAutospacing="1" w:after="100" w:afterAutospacing="1"/>
        <w:jc w:val="both"/>
        <w:rPr>
          <w:rFonts w:ascii="Times New Roman" w:hAnsi="Times New Roman" w:cs="Times New Roman"/>
          <w:sz w:val="24"/>
          <w:szCs w:val="24"/>
        </w:rPr>
      </w:pPr>
    </w:p>
    <w:p w:rsidR="00473039" w:rsidRPr="006F568B" w:rsidRDefault="00473039" w:rsidP="00473039">
      <w:pPr>
        <w:jc w:val="center"/>
        <w:rPr>
          <w:rFonts w:ascii="Times New Roman" w:hAnsi="Times New Roman" w:cs="Times New Roman"/>
          <w:b/>
          <w:bCs/>
          <w:sz w:val="24"/>
          <w:szCs w:val="24"/>
        </w:rPr>
      </w:pPr>
      <w:r w:rsidRPr="006F568B">
        <w:rPr>
          <w:rFonts w:ascii="Times New Roman" w:hAnsi="Times New Roman" w:cs="Times New Roman"/>
          <w:b/>
          <w:bCs/>
          <w:sz w:val="24"/>
          <w:szCs w:val="24"/>
        </w:rPr>
        <w:t>JUSCELINO MARRECA</w:t>
      </w:r>
    </w:p>
    <w:p w:rsidR="00473039" w:rsidRDefault="00473039" w:rsidP="00473039">
      <w:pPr>
        <w:jc w:val="center"/>
        <w:rPr>
          <w:rFonts w:ascii="Times New Roman" w:hAnsi="Times New Roman" w:cs="Times New Roman"/>
          <w:b/>
          <w:bCs/>
          <w:sz w:val="24"/>
          <w:szCs w:val="24"/>
        </w:rPr>
      </w:pPr>
      <w:r w:rsidRPr="006F568B">
        <w:rPr>
          <w:rFonts w:ascii="Times New Roman" w:hAnsi="Times New Roman" w:cs="Times New Roman"/>
          <w:b/>
          <w:bCs/>
          <w:sz w:val="24"/>
          <w:szCs w:val="24"/>
        </w:rPr>
        <w:t>Deputado Estadua</w:t>
      </w:r>
      <w:r>
        <w:rPr>
          <w:rFonts w:ascii="Times New Roman" w:hAnsi="Times New Roman" w:cs="Times New Roman"/>
          <w:b/>
          <w:bCs/>
          <w:sz w:val="24"/>
          <w:szCs w:val="24"/>
        </w:rPr>
        <w:t>l</w:t>
      </w:r>
    </w:p>
    <w:p w:rsidR="00473039" w:rsidRPr="008A7E55" w:rsidRDefault="00473039" w:rsidP="005C027A">
      <w:pPr>
        <w:spacing w:before="100" w:beforeAutospacing="1" w:after="100" w:afterAutospacing="1"/>
        <w:ind w:firstLine="720"/>
        <w:rPr>
          <w:rFonts w:ascii="Times New Roman" w:hAnsi="Times New Roman" w:cs="Times New Roman"/>
          <w:sz w:val="24"/>
          <w:szCs w:val="24"/>
        </w:rPr>
      </w:pPr>
    </w:p>
    <w:sectPr w:rsidR="00473039" w:rsidRPr="008A7E55" w:rsidSect="00473039">
      <w:headerReference w:type="default" r:id="rId9"/>
      <w:pgSz w:w="11907" w:h="16840"/>
      <w:pgMar w:top="1417" w:right="1701" w:bottom="1135" w:left="1701" w:header="142" w:footer="709"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B2F" w:rsidRDefault="00A52B2F">
      <w:r>
        <w:separator/>
      </w:r>
    </w:p>
  </w:endnote>
  <w:endnote w:type="continuationSeparator" w:id="0">
    <w:p w:rsidR="00A52B2F" w:rsidRDefault="00A52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1)">
    <w:altName w:val="Arial"/>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B2F" w:rsidRDefault="00A52B2F">
      <w:r>
        <w:separator/>
      </w:r>
    </w:p>
  </w:footnote>
  <w:footnote w:type="continuationSeparator" w:id="0">
    <w:p w:rsidR="00A52B2F" w:rsidRDefault="00A52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4F52" w:rsidRDefault="00D44F52">
    <w:pPr>
      <w:tabs>
        <w:tab w:val="center" w:pos="4419"/>
        <w:tab w:val="right" w:pos="8838"/>
      </w:tabs>
      <w:ind w:right="360"/>
      <w:jc w:val="center"/>
      <w:rPr>
        <w:rFonts w:ascii="Liberation Serif" w:eastAsia="Liberation Serif" w:hAnsi="Liberation Serif" w:cs="Liberation Serif"/>
        <w:sz w:val="24"/>
        <w:szCs w:val="24"/>
      </w:rPr>
    </w:pPr>
    <w:r>
      <w:rPr>
        <w:rFonts w:ascii="Liberation Serif" w:eastAsia="Liberation Serif" w:hAnsi="Liberation Serif" w:cs="Liberation Serif"/>
        <w:noProof/>
        <w:sz w:val="24"/>
        <w:szCs w:val="24"/>
      </w:rPr>
      <w:drawing>
        <wp:inline distT="0" distB="0" distL="0" distR="0">
          <wp:extent cx="956945" cy="81915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56945" cy="819150"/>
                  </a:xfrm>
                  <a:prstGeom prst="rect">
                    <a:avLst/>
                  </a:prstGeom>
                  <a:ln/>
                </pic:spPr>
              </pic:pic>
            </a:graphicData>
          </a:graphic>
        </wp:inline>
      </w:drawing>
    </w:r>
  </w:p>
  <w:p w:rsidR="00D44F52" w:rsidRDefault="00D44F52">
    <w:pPr>
      <w:tabs>
        <w:tab w:val="center" w:pos="4419"/>
        <w:tab w:val="right" w:pos="8838"/>
      </w:tabs>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ESTADO DO MARANHÃO</w:t>
    </w:r>
  </w:p>
  <w:p w:rsidR="00D44F52" w:rsidRDefault="00D44F52">
    <w:pPr>
      <w:tabs>
        <w:tab w:val="center" w:pos="4419"/>
        <w:tab w:val="right" w:pos="8838"/>
      </w:tabs>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ASSEMBLEIA LEGISLATIVA DO MARANHÃO</w:t>
    </w:r>
  </w:p>
  <w:p w:rsidR="00D44F52" w:rsidRDefault="00D44F52">
    <w:pPr>
      <w:tabs>
        <w:tab w:val="center" w:pos="4419"/>
        <w:tab w:val="right" w:pos="8838"/>
      </w:tabs>
      <w:ind w:right="360"/>
      <w:jc w:val="center"/>
      <w:rPr>
        <w:rFonts w:ascii="Liberation Serif" w:eastAsia="Liberation Serif" w:hAnsi="Liberation Serif" w:cs="Liberation Serif"/>
        <w:b/>
        <w:sz w:val="22"/>
        <w:szCs w:val="22"/>
      </w:rPr>
    </w:pPr>
    <w:r>
      <w:rPr>
        <w:rFonts w:ascii="Liberation Serif" w:eastAsia="Liberation Serif" w:hAnsi="Liberation Serif" w:cs="Liberation Serif"/>
        <w:b/>
        <w:sz w:val="22"/>
        <w:szCs w:val="22"/>
      </w:rPr>
      <w:t xml:space="preserve">     GABINETE D</w:t>
    </w:r>
    <w:r w:rsidR="008A7E55">
      <w:rPr>
        <w:rFonts w:ascii="Liberation Serif" w:eastAsia="Liberation Serif" w:hAnsi="Liberation Serif" w:cs="Liberation Serif"/>
        <w:b/>
        <w:sz w:val="22"/>
        <w:szCs w:val="22"/>
      </w:rPr>
      <w:t>O</w:t>
    </w:r>
    <w:r>
      <w:rPr>
        <w:rFonts w:ascii="Liberation Serif" w:eastAsia="Liberation Serif" w:hAnsi="Liberation Serif" w:cs="Liberation Serif"/>
        <w:b/>
        <w:sz w:val="22"/>
        <w:szCs w:val="22"/>
      </w:rPr>
      <w:t xml:space="preserve"> DEPUTADO JUSCELINO MARRECA</w:t>
    </w:r>
  </w:p>
  <w:p w:rsidR="00D44F52" w:rsidRDefault="00D44F52">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5B3F"/>
    <w:multiLevelType w:val="multilevel"/>
    <w:tmpl w:val="6E4E04DE"/>
    <w:lvl w:ilvl="0">
      <w:start w:val="1"/>
      <w:numFmt w:val="upperRoman"/>
      <w:pStyle w:val="Ttulo1"/>
      <w:lvlText w:val="%1."/>
      <w:lvlJc w:val="right"/>
      <w:pPr>
        <w:ind w:left="1440" w:hanging="360"/>
      </w:pPr>
      <w:rPr>
        <w:u w:val="none"/>
      </w:rPr>
    </w:lvl>
    <w:lvl w:ilvl="1">
      <w:start w:val="1"/>
      <w:numFmt w:val="upperLetter"/>
      <w:pStyle w:val="Ttulo2"/>
      <w:lvlText w:val="%2."/>
      <w:lvlJc w:val="left"/>
      <w:pPr>
        <w:ind w:left="2160" w:hanging="360"/>
      </w:pPr>
      <w:rPr>
        <w:u w:val="none"/>
      </w:rPr>
    </w:lvl>
    <w:lvl w:ilvl="2">
      <w:start w:val="1"/>
      <w:numFmt w:val="decimal"/>
      <w:pStyle w:val="Ttulo3"/>
      <w:lvlText w:val="%3."/>
      <w:lvlJc w:val="left"/>
      <w:pPr>
        <w:ind w:left="2880" w:hanging="360"/>
      </w:pPr>
      <w:rPr>
        <w:u w:val="none"/>
      </w:rPr>
    </w:lvl>
    <w:lvl w:ilvl="3">
      <w:start w:val="1"/>
      <w:numFmt w:val="lowerLetter"/>
      <w:pStyle w:val="Ttulo4"/>
      <w:lvlText w:val="%4)"/>
      <w:lvlJc w:val="left"/>
      <w:pPr>
        <w:ind w:left="3600" w:hanging="360"/>
      </w:pPr>
      <w:rPr>
        <w:u w:val="none"/>
      </w:rPr>
    </w:lvl>
    <w:lvl w:ilvl="4">
      <w:start w:val="1"/>
      <w:numFmt w:val="decimal"/>
      <w:pStyle w:val="Ttulo5"/>
      <w:lvlText w:val="(%5)"/>
      <w:lvlJc w:val="left"/>
      <w:pPr>
        <w:ind w:left="4320" w:hanging="360"/>
      </w:pPr>
      <w:rPr>
        <w:u w:val="none"/>
      </w:rPr>
    </w:lvl>
    <w:lvl w:ilvl="5">
      <w:start w:val="1"/>
      <w:numFmt w:val="lowerLetter"/>
      <w:pStyle w:val="Ttulo6"/>
      <w:lvlText w:val="(%6)"/>
      <w:lvlJc w:val="left"/>
      <w:pPr>
        <w:ind w:left="5040" w:hanging="360"/>
      </w:pPr>
      <w:rPr>
        <w:u w:val="none"/>
      </w:rPr>
    </w:lvl>
    <w:lvl w:ilvl="6">
      <w:start w:val="1"/>
      <w:numFmt w:val="lowerRoman"/>
      <w:pStyle w:val="Ttulo7"/>
      <w:lvlText w:val="(%7)"/>
      <w:lvlJc w:val="right"/>
      <w:pPr>
        <w:ind w:left="5760" w:hanging="360"/>
      </w:pPr>
      <w:rPr>
        <w:u w:val="none"/>
      </w:rPr>
    </w:lvl>
    <w:lvl w:ilvl="7">
      <w:start w:val="1"/>
      <w:numFmt w:val="lowerLetter"/>
      <w:pStyle w:val="Ttulo8"/>
      <w:lvlText w:val="(%8)"/>
      <w:lvlJc w:val="left"/>
      <w:pPr>
        <w:ind w:left="6480" w:hanging="360"/>
      </w:pPr>
      <w:rPr>
        <w:u w:val="none"/>
      </w:rPr>
    </w:lvl>
    <w:lvl w:ilvl="8">
      <w:start w:val="1"/>
      <w:numFmt w:val="lowerRoman"/>
      <w:pStyle w:val="Ttulo9"/>
      <w:lvlText w:val="(%9)"/>
      <w:lvlJc w:val="righ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AFB"/>
    <w:rsid w:val="000159EE"/>
    <w:rsid w:val="0002794A"/>
    <w:rsid w:val="00053731"/>
    <w:rsid w:val="00076D4B"/>
    <w:rsid w:val="000D4726"/>
    <w:rsid w:val="00106683"/>
    <w:rsid w:val="00161368"/>
    <w:rsid w:val="001619D6"/>
    <w:rsid w:val="00285E5F"/>
    <w:rsid w:val="002C7C01"/>
    <w:rsid w:val="00395E49"/>
    <w:rsid w:val="00421471"/>
    <w:rsid w:val="00423847"/>
    <w:rsid w:val="00435A75"/>
    <w:rsid w:val="00473039"/>
    <w:rsid w:val="004A59FC"/>
    <w:rsid w:val="005C0199"/>
    <w:rsid w:val="005C027A"/>
    <w:rsid w:val="005F4F87"/>
    <w:rsid w:val="00644F18"/>
    <w:rsid w:val="006A629E"/>
    <w:rsid w:val="006F12ED"/>
    <w:rsid w:val="006F568B"/>
    <w:rsid w:val="00704105"/>
    <w:rsid w:val="007E1965"/>
    <w:rsid w:val="008A7E55"/>
    <w:rsid w:val="008C09CE"/>
    <w:rsid w:val="00982144"/>
    <w:rsid w:val="009C2082"/>
    <w:rsid w:val="00A52B2F"/>
    <w:rsid w:val="00BC1987"/>
    <w:rsid w:val="00C4494C"/>
    <w:rsid w:val="00CA1A4E"/>
    <w:rsid w:val="00CB0AFB"/>
    <w:rsid w:val="00D07E68"/>
    <w:rsid w:val="00D24300"/>
    <w:rsid w:val="00D27BD8"/>
    <w:rsid w:val="00D44F52"/>
    <w:rsid w:val="00D70768"/>
    <w:rsid w:val="00E102A6"/>
    <w:rsid w:val="00E3710F"/>
    <w:rsid w:val="00E8461F"/>
    <w:rsid w:val="00F049C0"/>
    <w:rsid w:val="00F16707"/>
    <w:rsid w:val="00F4520D"/>
    <w:rsid w:val="00F54C9C"/>
    <w:rsid w:val="00FE04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A4D2D3-0415-4A1D-992C-43EC1548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1)" w:eastAsia="Arial (W1)" w:hAnsi="Arial (W1)" w:cs="Arial (W1)"/>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numPr>
        <w:numId w:val="1"/>
      </w:numPr>
      <w:tabs>
        <w:tab w:val="left" w:pos="1080"/>
      </w:tabs>
      <w:jc w:val="center"/>
      <w:outlineLvl w:val="0"/>
    </w:pPr>
    <w:rPr>
      <w:u w:val="single"/>
    </w:rPr>
  </w:style>
  <w:style w:type="paragraph" w:styleId="Ttulo2">
    <w:name w:val="heading 2"/>
    <w:basedOn w:val="Normal"/>
    <w:next w:val="Normal"/>
    <w:uiPriority w:val="9"/>
    <w:semiHidden/>
    <w:unhideWhenUsed/>
    <w:qFormat/>
    <w:pPr>
      <w:keepNext/>
      <w:numPr>
        <w:ilvl w:val="1"/>
        <w:numId w:val="1"/>
      </w:numPr>
      <w:tabs>
        <w:tab w:val="left" w:pos="1800"/>
      </w:tabs>
      <w:spacing w:before="240" w:after="60"/>
      <w:outlineLvl w:val="1"/>
    </w:pPr>
    <w:rPr>
      <w:rFonts w:ascii="Arial" w:hAnsi="Arial" w:cs="Arial"/>
      <w:b/>
      <w:bCs/>
      <w:i/>
      <w:iCs/>
      <w:sz w:val="28"/>
      <w:szCs w:val="28"/>
    </w:rPr>
  </w:style>
  <w:style w:type="paragraph" w:styleId="Ttulo3">
    <w:name w:val="heading 3"/>
    <w:basedOn w:val="Normal"/>
    <w:next w:val="Normal"/>
    <w:uiPriority w:val="9"/>
    <w:semiHidden/>
    <w:unhideWhenUsed/>
    <w:qFormat/>
    <w:pPr>
      <w:keepNext/>
      <w:numPr>
        <w:ilvl w:val="2"/>
        <w:numId w:val="1"/>
      </w:numPr>
      <w:tabs>
        <w:tab w:val="left" w:pos="72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tabs>
        <w:tab w:val="left" w:pos="864"/>
      </w:tabs>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tabs>
        <w:tab w:val="left" w:pos="1008"/>
      </w:tabs>
      <w:spacing w:before="240" w:after="60"/>
      <w:outlineLvl w:val="4"/>
    </w:pPr>
    <w:rPr>
      <w:b/>
      <w:bCs/>
      <w:i/>
      <w:iCs/>
      <w:sz w:val="26"/>
      <w:szCs w:val="26"/>
    </w:rPr>
  </w:style>
  <w:style w:type="paragraph" w:styleId="Ttulo6">
    <w:name w:val="heading 6"/>
    <w:basedOn w:val="Normal"/>
    <w:next w:val="Normal"/>
    <w:uiPriority w:val="9"/>
    <w:semiHidden/>
    <w:unhideWhenUsed/>
    <w:qFormat/>
    <w:pPr>
      <w:numPr>
        <w:ilvl w:val="5"/>
        <w:numId w:val="1"/>
      </w:numPr>
      <w:tabs>
        <w:tab w:val="left" w:pos="1152"/>
      </w:tabs>
      <w:spacing w:before="240" w:after="60"/>
      <w:outlineLvl w:val="5"/>
    </w:pPr>
    <w:rPr>
      <w:b/>
      <w:bCs/>
      <w:sz w:val="22"/>
      <w:szCs w:val="22"/>
    </w:rPr>
  </w:style>
  <w:style w:type="paragraph" w:styleId="Ttulo7">
    <w:name w:val="heading 7"/>
    <w:basedOn w:val="Normal"/>
    <w:next w:val="Normal"/>
    <w:qFormat/>
    <w:pPr>
      <w:numPr>
        <w:ilvl w:val="6"/>
        <w:numId w:val="1"/>
      </w:numPr>
      <w:tabs>
        <w:tab w:val="left" w:pos="1296"/>
      </w:tabs>
      <w:spacing w:before="240" w:after="60"/>
      <w:outlineLvl w:val="6"/>
    </w:pPr>
    <w:rPr>
      <w:sz w:val="24"/>
      <w:szCs w:val="24"/>
    </w:rPr>
  </w:style>
  <w:style w:type="paragraph" w:styleId="Ttulo8">
    <w:name w:val="heading 8"/>
    <w:basedOn w:val="Normal"/>
    <w:next w:val="Normal"/>
    <w:qFormat/>
    <w:pPr>
      <w:numPr>
        <w:ilvl w:val="7"/>
        <w:numId w:val="1"/>
      </w:numPr>
      <w:tabs>
        <w:tab w:val="left" w:pos="1440"/>
      </w:tabs>
      <w:spacing w:before="240" w:after="60"/>
      <w:outlineLvl w:val="7"/>
    </w:pPr>
    <w:rPr>
      <w:i/>
      <w:iCs/>
      <w:sz w:val="24"/>
      <w:szCs w:val="24"/>
    </w:rPr>
  </w:style>
  <w:style w:type="paragraph" w:styleId="Ttulo9">
    <w:name w:val="heading 9"/>
    <w:basedOn w:val="Normal"/>
    <w:next w:val="Normal"/>
    <w:qFormat/>
    <w:pPr>
      <w:numPr>
        <w:ilvl w:val="8"/>
        <w:numId w:val="1"/>
      </w:numPr>
      <w:tabs>
        <w:tab w:val="left" w:pos="1584"/>
      </w:tabs>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link w:val="Corpodetexto"/>
    <w:uiPriority w:val="99"/>
    <w:semiHidden/>
    <w:rPr>
      <w:rFonts w:ascii="Arial (W1)" w:hAnsi="Arial (W1)"/>
    </w:rPr>
  </w:style>
  <w:style w:type="paragraph" w:styleId="NormalWeb">
    <w:name w:val="Normal (Web)"/>
    <w:basedOn w:val="Normal"/>
    <w:uiPriority w:val="99"/>
    <w:unhideWhenUsed/>
    <w:pPr>
      <w:spacing w:before="100" w:beforeAutospacing="1" w:after="100" w:afterAutospacing="1"/>
    </w:pPr>
    <w:rPr>
      <w:rFonts w:ascii="Times New Roman" w:hAnsi="Times New Roman"/>
      <w:sz w:val="24"/>
      <w:szCs w:val="24"/>
    </w:rPr>
  </w:style>
  <w:style w:type="paragraph" w:styleId="Cabealho">
    <w:name w:val="header"/>
    <w:basedOn w:val="Normal"/>
    <w:link w:val="CabealhoChar"/>
    <w:semiHidden/>
    <w:pPr>
      <w:tabs>
        <w:tab w:val="center" w:pos="4419"/>
        <w:tab w:val="right" w:pos="8838"/>
      </w:tabs>
    </w:pPr>
  </w:style>
  <w:style w:type="character" w:customStyle="1" w:styleId="CabealhoChar">
    <w:name w:val="Cabeçalho Char"/>
    <w:link w:val="Cabealho"/>
    <w:semiHidden/>
    <w:rPr>
      <w:rFonts w:ascii="Arial (W1)" w:hAnsi="Arial (W1)"/>
    </w:rPr>
  </w:style>
  <w:style w:type="paragraph" w:styleId="Rodap">
    <w:name w:val="footer"/>
    <w:basedOn w:val="Normal"/>
    <w:semiHidden/>
    <w:pPr>
      <w:tabs>
        <w:tab w:val="center" w:pos="4419"/>
        <w:tab w:val="right" w:pos="8838"/>
      </w:tabs>
    </w:pPr>
  </w:style>
  <w:style w:type="paragraph" w:styleId="Textodebalo">
    <w:name w:val="Balloon Text"/>
    <w:basedOn w:val="Normal"/>
    <w:link w:val="TextodebaloChar"/>
    <w:uiPriority w:val="99"/>
    <w:unhideWhenUsed/>
    <w:rPr>
      <w:rFonts w:ascii="Segoe UI" w:hAnsi="Segoe UI" w:cs="Segoe UI"/>
      <w:sz w:val="18"/>
      <w:szCs w:val="18"/>
    </w:rPr>
  </w:style>
  <w:style w:type="character" w:customStyle="1" w:styleId="TextodebaloChar">
    <w:name w:val="Texto de balão Char"/>
    <w:link w:val="Textodebalo"/>
    <w:uiPriority w:val="99"/>
    <w:semiHidden/>
    <w:rPr>
      <w:rFonts w:ascii="Segoe UI" w:hAnsi="Segoe UI" w:cs="Segoe UI"/>
      <w:sz w:val="18"/>
      <w:szCs w:val="18"/>
    </w:rPr>
  </w:style>
  <w:style w:type="paragraph" w:styleId="Recuodecorpodetexto">
    <w:name w:val="Body Text Indent"/>
    <w:basedOn w:val="Normal"/>
    <w:semiHidden/>
    <w:pPr>
      <w:ind w:left="4248"/>
    </w:pPr>
  </w:style>
  <w:style w:type="character" w:customStyle="1" w:styleId="RecuodecorpodetextoChar">
    <w:name w:val="Recuo de corpo de texto Char"/>
    <w:semiHidden/>
    <w:rPr>
      <w:rFonts w:ascii="Arial (W1)" w:hAnsi="Arial (W1)"/>
    </w:rPr>
  </w:style>
  <w:style w:type="paragraph" w:styleId="PargrafodaLista">
    <w:name w:val="List Paragraph"/>
    <w:basedOn w:val="Normal"/>
    <w:uiPriority w:val="34"/>
    <w:qFormat/>
    <w:pPr>
      <w:ind w:left="708"/>
    </w:pPr>
  </w:style>
  <w:style w:type="paragraph" w:customStyle="1" w:styleId="Standard">
    <w:name w:val="Standard"/>
    <w:pPr>
      <w:suppressAutoHyphens/>
      <w:autoSpaceDN w:val="0"/>
      <w:textAlignment w:val="baseline"/>
    </w:pPr>
    <w:rPr>
      <w:rFonts w:ascii="Liberation Serif" w:eastAsia="SimSun" w:hAnsi="Liberation Serif" w:cs="Arial"/>
      <w:kern w:val="3"/>
      <w:sz w:val="24"/>
      <w:szCs w:val="24"/>
      <w:lang w:eastAsia="zh-CN" w:bidi="hi-I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Forte">
    <w:name w:val="Strong"/>
    <w:basedOn w:val="Fontepargpadro"/>
    <w:uiPriority w:val="22"/>
    <w:qFormat/>
    <w:rsid w:val="00106683"/>
    <w:rPr>
      <w:b/>
      <w:bCs/>
    </w:rPr>
  </w:style>
  <w:style w:type="character" w:styleId="Hyperlink">
    <w:name w:val="Hyperlink"/>
    <w:basedOn w:val="Fontepargpadro"/>
    <w:uiPriority w:val="99"/>
    <w:unhideWhenUsed/>
    <w:rsid w:val="00E3710F"/>
    <w:rPr>
      <w:color w:val="0563C1" w:themeColor="hyperlink"/>
      <w:u w:val="single"/>
    </w:rPr>
  </w:style>
  <w:style w:type="character" w:styleId="MenoPendente">
    <w:name w:val="Unresolved Mention"/>
    <w:basedOn w:val="Fontepargpadro"/>
    <w:uiPriority w:val="99"/>
    <w:semiHidden/>
    <w:unhideWhenUsed/>
    <w:rsid w:val="00E37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750568">
      <w:bodyDiv w:val="1"/>
      <w:marLeft w:val="0"/>
      <w:marRight w:val="0"/>
      <w:marTop w:val="0"/>
      <w:marBottom w:val="0"/>
      <w:divBdr>
        <w:top w:val="none" w:sz="0" w:space="0" w:color="auto"/>
        <w:left w:val="none" w:sz="0" w:space="0" w:color="auto"/>
        <w:bottom w:val="none" w:sz="0" w:space="0" w:color="auto"/>
        <w:right w:val="none" w:sz="0" w:space="0" w:color="auto"/>
      </w:divBdr>
      <w:divsChild>
        <w:div w:id="192694738">
          <w:marLeft w:val="0"/>
          <w:marRight w:val="0"/>
          <w:marTop w:val="0"/>
          <w:marBottom w:val="0"/>
          <w:divBdr>
            <w:top w:val="none" w:sz="0" w:space="0" w:color="auto"/>
            <w:left w:val="none" w:sz="0" w:space="0" w:color="auto"/>
            <w:bottom w:val="none" w:sz="0" w:space="0" w:color="auto"/>
            <w:right w:val="none" w:sz="0" w:space="0" w:color="auto"/>
          </w:divBdr>
        </w:div>
        <w:div w:id="296692996">
          <w:marLeft w:val="0"/>
          <w:marRight w:val="0"/>
          <w:marTop w:val="0"/>
          <w:marBottom w:val="0"/>
          <w:divBdr>
            <w:top w:val="none" w:sz="0" w:space="0" w:color="auto"/>
            <w:left w:val="none" w:sz="0" w:space="0" w:color="auto"/>
            <w:bottom w:val="none" w:sz="0" w:space="0" w:color="auto"/>
            <w:right w:val="none" w:sz="0" w:space="0" w:color="auto"/>
          </w:divBdr>
          <w:divsChild>
            <w:div w:id="1425492834">
              <w:marLeft w:val="0"/>
              <w:marRight w:val="0"/>
              <w:marTop w:val="0"/>
              <w:marBottom w:val="0"/>
              <w:divBdr>
                <w:top w:val="none" w:sz="0" w:space="0" w:color="auto"/>
                <w:left w:val="none" w:sz="0" w:space="0" w:color="auto"/>
                <w:bottom w:val="none" w:sz="0" w:space="0" w:color="auto"/>
                <w:right w:val="none" w:sz="0" w:space="0" w:color="auto"/>
              </w:divBdr>
              <w:divsChild>
                <w:div w:id="763646113">
                  <w:marLeft w:val="0"/>
                  <w:marRight w:val="0"/>
                  <w:marTop w:val="0"/>
                  <w:marBottom w:val="0"/>
                  <w:divBdr>
                    <w:top w:val="none" w:sz="0" w:space="0" w:color="auto"/>
                    <w:left w:val="none" w:sz="0" w:space="0" w:color="auto"/>
                    <w:bottom w:val="none" w:sz="0" w:space="0" w:color="auto"/>
                    <w:right w:val="none" w:sz="0" w:space="0" w:color="auto"/>
                  </w:divBdr>
                  <w:divsChild>
                    <w:div w:id="168312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611292">
      <w:bodyDiv w:val="1"/>
      <w:marLeft w:val="0"/>
      <w:marRight w:val="0"/>
      <w:marTop w:val="0"/>
      <w:marBottom w:val="0"/>
      <w:divBdr>
        <w:top w:val="none" w:sz="0" w:space="0" w:color="auto"/>
        <w:left w:val="none" w:sz="0" w:space="0" w:color="auto"/>
        <w:bottom w:val="none" w:sz="0" w:space="0" w:color="auto"/>
        <w:right w:val="none" w:sz="0" w:space="0" w:color="auto"/>
      </w:divBdr>
    </w:div>
    <w:div w:id="334497664">
      <w:bodyDiv w:val="1"/>
      <w:marLeft w:val="0"/>
      <w:marRight w:val="0"/>
      <w:marTop w:val="0"/>
      <w:marBottom w:val="0"/>
      <w:divBdr>
        <w:top w:val="none" w:sz="0" w:space="0" w:color="auto"/>
        <w:left w:val="none" w:sz="0" w:space="0" w:color="auto"/>
        <w:bottom w:val="none" w:sz="0" w:space="0" w:color="auto"/>
        <w:right w:val="none" w:sz="0" w:space="0" w:color="auto"/>
      </w:divBdr>
    </w:div>
    <w:div w:id="373769135">
      <w:bodyDiv w:val="1"/>
      <w:marLeft w:val="0"/>
      <w:marRight w:val="0"/>
      <w:marTop w:val="0"/>
      <w:marBottom w:val="0"/>
      <w:divBdr>
        <w:top w:val="none" w:sz="0" w:space="0" w:color="auto"/>
        <w:left w:val="none" w:sz="0" w:space="0" w:color="auto"/>
        <w:bottom w:val="none" w:sz="0" w:space="0" w:color="auto"/>
        <w:right w:val="none" w:sz="0" w:space="0" w:color="auto"/>
      </w:divBdr>
    </w:div>
    <w:div w:id="397291156">
      <w:bodyDiv w:val="1"/>
      <w:marLeft w:val="0"/>
      <w:marRight w:val="0"/>
      <w:marTop w:val="0"/>
      <w:marBottom w:val="0"/>
      <w:divBdr>
        <w:top w:val="none" w:sz="0" w:space="0" w:color="auto"/>
        <w:left w:val="none" w:sz="0" w:space="0" w:color="auto"/>
        <w:bottom w:val="none" w:sz="0" w:space="0" w:color="auto"/>
        <w:right w:val="none" w:sz="0" w:space="0" w:color="auto"/>
      </w:divBdr>
    </w:div>
    <w:div w:id="2140218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dy47gKEC7niDsxNzjdhczIvrAA==">AMUW2mWqUyKXGEc+eA0dKTI83vhcbO2z2VsIsuBIDHSYLTsdInjDalZPxwPAIwGU7qO0o9A/TLz/nK6lOLFhUBvYPJgxFxLrDKx9gXaZzPcxSsn2Fz044gQ=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783F911-DCAF-4D80-8544-A80E5B0B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1075</Words>
  <Characters>5806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DDO</dc:creator>
  <cp:lastModifiedBy>Gabinete 204</cp:lastModifiedBy>
  <cp:revision>2</cp:revision>
  <cp:lastPrinted>2023-10-31T15:18:00Z</cp:lastPrinted>
  <dcterms:created xsi:type="dcterms:W3CDTF">2023-10-31T15:24:00Z</dcterms:created>
  <dcterms:modified xsi:type="dcterms:W3CDTF">2023-10-31T15:24:00Z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1046-11.2.0.11440</vt:lpwstr>
  </property>
  <property fmtid="{D5CDD505-2E9C-101B-9397-08002B2CF9AE}" pid="3" name="ICV">
    <vt:lpwstr>6B54D946EBCE44B1B52D44CAE1F99090</vt:lpwstr>
  </property>
</Properties>
</file>