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3C372" w14:textId="422BD8B9" w:rsidR="006235D9" w:rsidRPr="001F2801" w:rsidRDefault="006235D9" w:rsidP="001F2801">
      <w:pPr>
        <w:pStyle w:val="Default"/>
        <w:jc w:val="center"/>
        <w:rPr>
          <w:rFonts w:ascii="Times New Roman" w:hAnsi="Times New Roman" w:cs="Times New Roman"/>
          <w:b/>
          <w:bCs/>
          <w:color w:val="000000" w:themeColor="text1"/>
        </w:rPr>
      </w:pPr>
      <w:r w:rsidRPr="001F2801">
        <w:rPr>
          <w:rFonts w:ascii="Times New Roman" w:hAnsi="Times New Roman" w:cs="Times New Roman"/>
          <w:b/>
          <w:bCs/>
          <w:color w:val="000000" w:themeColor="text1"/>
        </w:rPr>
        <w:t>PROJETO DE LEI Nº _____/202</w:t>
      </w:r>
      <w:r w:rsidR="00610FED" w:rsidRPr="001F2801">
        <w:rPr>
          <w:rFonts w:ascii="Times New Roman" w:hAnsi="Times New Roman" w:cs="Times New Roman"/>
          <w:b/>
          <w:bCs/>
          <w:color w:val="000000" w:themeColor="text1"/>
        </w:rPr>
        <w:t>5</w:t>
      </w:r>
    </w:p>
    <w:p w14:paraId="048DEF18" w14:textId="77777777" w:rsidR="006235D9" w:rsidRPr="001F2801" w:rsidRDefault="006235D9" w:rsidP="006235D9">
      <w:pPr>
        <w:pStyle w:val="Default"/>
        <w:rPr>
          <w:rFonts w:ascii="Times New Roman" w:hAnsi="Times New Roman" w:cs="Times New Roman"/>
          <w:b/>
          <w:bCs/>
          <w:color w:val="000000" w:themeColor="text1"/>
        </w:rPr>
      </w:pPr>
    </w:p>
    <w:p w14:paraId="541A16CD" w14:textId="77777777" w:rsidR="006235D9" w:rsidRPr="001F2801" w:rsidRDefault="006235D9" w:rsidP="006235D9">
      <w:pPr>
        <w:pStyle w:val="Default"/>
        <w:rPr>
          <w:rFonts w:ascii="Times New Roman" w:hAnsi="Times New Roman" w:cs="Times New Roman"/>
          <w:b/>
          <w:bCs/>
          <w:color w:val="000000" w:themeColor="text1"/>
        </w:rPr>
      </w:pPr>
    </w:p>
    <w:p w14:paraId="07E9A153" w14:textId="77777777" w:rsidR="006235D9" w:rsidRPr="001F2801" w:rsidRDefault="006235D9" w:rsidP="006235D9">
      <w:pPr>
        <w:pStyle w:val="Default"/>
        <w:rPr>
          <w:rFonts w:ascii="Times New Roman" w:hAnsi="Times New Roman" w:cs="Times New Roman"/>
          <w:b/>
          <w:bCs/>
          <w:color w:val="000000" w:themeColor="text1"/>
        </w:rPr>
      </w:pPr>
    </w:p>
    <w:p w14:paraId="28DEA161" w14:textId="4048962E" w:rsidR="006235D9" w:rsidRPr="001F2801" w:rsidRDefault="00CF0016" w:rsidP="006235D9">
      <w:pPr>
        <w:pStyle w:val="Default"/>
        <w:ind w:left="4248"/>
        <w:jc w:val="both"/>
        <w:rPr>
          <w:rFonts w:ascii="Times New Roman" w:hAnsi="Times New Roman" w:cs="Times New Roman"/>
          <w:color w:val="000000" w:themeColor="text1"/>
        </w:rPr>
      </w:pPr>
      <w:r w:rsidRPr="001F2801">
        <w:rPr>
          <w:rFonts w:ascii="Times New Roman" w:hAnsi="Times New Roman" w:cs="Times New Roman"/>
          <w:color w:val="000000" w:themeColor="text1"/>
          <w:shd w:val="clear" w:color="auto" w:fill="FFFFFF"/>
        </w:rPr>
        <w:t>Dispõe sobre a composição do custo total dos serviços notariais e de registro no Estado do Maranhão e dá outras providências</w:t>
      </w:r>
      <w:r w:rsidR="006235D9" w:rsidRPr="001F2801">
        <w:rPr>
          <w:rFonts w:ascii="Times New Roman" w:hAnsi="Times New Roman" w:cs="Times New Roman"/>
          <w:color w:val="000000" w:themeColor="text1"/>
        </w:rPr>
        <w:t xml:space="preserve">. </w:t>
      </w:r>
    </w:p>
    <w:p w14:paraId="7FE1D0DD" w14:textId="77777777" w:rsidR="006235D9" w:rsidRPr="001F2801" w:rsidRDefault="006235D9" w:rsidP="006235D9">
      <w:pPr>
        <w:pStyle w:val="Default"/>
        <w:rPr>
          <w:rFonts w:ascii="Times New Roman" w:hAnsi="Times New Roman" w:cs="Times New Roman"/>
          <w:color w:val="000000" w:themeColor="text1"/>
        </w:rPr>
      </w:pPr>
    </w:p>
    <w:p w14:paraId="1516AB32" w14:textId="77777777" w:rsidR="006235D9" w:rsidRPr="001F2801" w:rsidRDefault="006235D9" w:rsidP="006235D9">
      <w:pPr>
        <w:pStyle w:val="Default"/>
        <w:jc w:val="both"/>
        <w:rPr>
          <w:rFonts w:ascii="Times New Roman" w:hAnsi="Times New Roman" w:cs="Times New Roman"/>
          <w:color w:val="000000" w:themeColor="text1"/>
        </w:rPr>
      </w:pPr>
    </w:p>
    <w:p w14:paraId="1C1F265E" w14:textId="77777777" w:rsidR="00C9388E" w:rsidRPr="001F2801" w:rsidRDefault="00C9388E" w:rsidP="001F2801">
      <w:pPr>
        <w:pStyle w:val="Default"/>
        <w:ind w:firstLine="1134"/>
        <w:jc w:val="both"/>
        <w:rPr>
          <w:rFonts w:ascii="Times New Roman" w:hAnsi="Times New Roman" w:cs="Times New Roman"/>
          <w:color w:val="000000" w:themeColor="text1"/>
        </w:rPr>
      </w:pPr>
      <w:r w:rsidRPr="001F2801">
        <w:rPr>
          <w:rFonts w:ascii="Times New Roman" w:hAnsi="Times New Roman" w:cs="Times New Roman"/>
          <w:color w:val="000000" w:themeColor="text1"/>
        </w:rPr>
        <w:t xml:space="preserve">A Assembleia Legislativa do Estado do Maranhão institui a seguinte Lei: </w:t>
      </w:r>
    </w:p>
    <w:p w14:paraId="720FA0EA" w14:textId="77777777" w:rsidR="00C9388E" w:rsidRPr="001F2801" w:rsidRDefault="00C9388E" w:rsidP="00C9388E">
      <w:pPr>
        <w:spacing w:after="160" w:line="259" w:lineRule="auto"/>
        <w:jc w:val="both"/>
        <w:rPr>
          <w:rFonts w:ascii="Times New Roman" w:hAnsi="Times New Roman" w:cs="Times New Roman"/>
          <w:color w:val="000000" w:themeColor="text1"/>
          <w:sz w:val="24"/>
          <w:szCs w:val="24"/>
        </w:rPr>
      </w:pPr>
    </w:p>
    <w:p w14:paraId="610CE3B7" w14:textId="0B13FD11" w:rsidR="00F51D25" w:rsidRPr="001F2801" w:rsidRDefault="00F51D25" w:rsidP="001F2801">
      <w:pPr>
        <w:pStyle w:val="Default"/>
        <w:ind w:firstLine="1134"/>
        <w:jc w:val="both"/>
        <w:rPr>
          <w:rFonts w:ascii="Times New Roman" w:hAnsi="Times New Roman" w:cs="Times New Roman"/>
          <w:color w:val="000000" w:themeColor="text1"/>
        </w:rPr>
      </w:pPr>
      <w:r w:rsidRPr="001F2801">
        <w:rPr>
          <w:rFonts w:ascii="Times New Roman" w:hAnsi="Times New Roman" w:cs="Times New Roman"/>
          <w:color w:val="000000" w:themeColor="text1"/>
        </w:rPr>
        <w:t xml:space="preserve">Art. 1º Além dos emolumentos previstos no art. 236, § 2º, da Constituição Federal, </w:t>
      </w:r>
      <w:r w:rsidR="00B74FEE" w:rsidRPr="001F2801">
        <w:rPr>
          <w:rFonts w:ascii="Times New Roman" w:hAnsi="Times New Roman" w:cs="Times New Roman"/>
          <w:color w:val="000000" w:themeColor="text1"/>
        </w:rPr>
        <w:t>compõe o custo total dos serviços notariais e de registro</w:t>
      </w:r>
      <w:r w:rsidRPr="001F2801">
        <w:rPr>
          <w:rFonts w:ascii="Times New Roman" w:hAnsi="Times New Roman" w:cs="Times New Roman"/>
          <w:color w:val="000000" w:themeColor="text1"/>
        </w:rPr>
        <w:t xml:space="preserve">: I - A parcela correspondente aos valores tributários incidentes, instituídos por lei municipal da sede da serventia, por força de Lei Complementar Estadual ou Federal; II - As </w:t>
      </w:r>
      <w:r w:rsidR="00161B6C" w:rsidRPr="001F2801">
        <w:rPr>
          <w:rFonts w:ascii="Times New Roman" w:hAnsi="Times New Roman" w:cs="Times New Roman"/>
          <w:color w:val="000000" w:themeColor="text1"/>
        </w:rPr>
        <w:t>taxas</w:t>
      </w:r>
      <w:r w:rsidRPr="001F2801">
        <w:rPr>
          <w:rFonts w:ascii="Times New Roman" w:hAnsi="Times New Roman" w:cs="Times New Roman"/>
          <w:color w:val="000000" w:themeColor="text1"/>
        </w:rPr>
        <w:t xml:space="preserve"> e acréscimos relativos aos fundos legais destinados a: a) Taxa de fiscalização do serviço extrajudicial; b) Custeio de atos gratuitos; c) </w:t>
      </w:r>
      <w:r w:rsidR="00CF0016" w:rsidRPr="001F2801">
        <w:rPr>
          <w:rFonts w:ascii="Times New Roman" w:hAnsi="Times New Roman" w:cs="Times New Roman"/>
          <w:color w:val="000000" w:themeColor="text1"/>
        </w:rPr>
        <w:t>Apoio</w:t>
      </w:r>
      <w:r w:rsidRPr="001F2801">
        <w:rPr>
          <w:rFonts w:ascii="Times New Roman" w:hAnsi="Times New Roman" w:cs="Times New Roman"/>
          <w:color w:val="000000" w:themeColor="text1"/>
        </w:rPr>
        <w:t xml:space="preserve"> a entidades assistenciais</w:t>
      </w:r>
      <w:r w:rsidR="00B74FEE" w:rsidRPr="001F2801">
        <w:rPr>
          <w:rFonts w:ascii="Times New Roman" w:hAnsi="Times New Roman" w:cs="Times New Roman"/>
          <w:color w:val="000000" w:themeColor="text1"/>
        </w:rPr>
        <w:t xml:space="preserve"> e</w:t>
      </w:r>
      <w:r w:rsidR="00CF0016" w:rsidRPr="001F2801">
        <w:rPr>
          <w:rFonts w:ascii="Times New Roman" w:hAnsi="Times New Roman" w:cs="Times New Roman"/>
          <w:color w:val="000000" w:themeColor="text1"/>
        </w:rPr>
        <w:t xml:space="preserve"> de</w:t>
      </w:r>
      <w:r w:rsidR="00B74FEE" w:rsidRPr="001F2801">
        <w:rPr>
          <w:rFonts w:ascii="Times New Roman" w:hAnsi="Times New Roman" w:cs="Times New Roman"/>
          <w:color w:val="000000" w:themeColor="text1"/>
        </w:rPr>
        <w:t xml:space="preserve"> instituições que atuem na defesa da ordem jurídica e dos interesses sociais</w:t>
      </w:r>
      <w:r w:rsidRPr="001F2801">
        <w:rPr>
          <w:rFonts w:ascii="Times New Roman" w:hAnsi="Times New Roman" w:cs="Times New Roman"/>
          <w:color w:val="000000" w:themeColor="text1"/>
        </w:rPr>
        <w:t>; d)</w:t>
      </w:r>
      <w:r w:rsidR="00B74FEE" w:rsidRPr="001F2801">
        <w:rPr>
          <w:rFonts w:ascii="Times New Roman" w:hAnsi="Times New Roman" w:cs="Times New Roman"/>
          <w:color w:val="000000" w:themeColor="text1"/>
        </w:rPr>
        <w:t xml:space="preserve"> </w:t>
      </w:r>
      <w:r w:rsidRPr="001F2801">
        <w:rPr>
          <w:rFonts w:ascii="Times New Roman" w:hAnsi="Times New Roman" w:cs="Times New Roman"/>
          <w:color w:val="000000" w:themeColor="text1"/>
        </w:rPr>
        <w:t xml:space="preserve"> Demais despesas associadas.</w:t>
      </w:r>
    </w:p>
    <w:p w14:paraId="4688D3F3" w14:textId="77777777" w:rsidR="00F51D25" w:rsidRPr="001F2801" w:rsidRDefault="00F51D25" w:rsidP="001F2801">
      <w:pPr>
        <w:pStyle w:val="Default"/>
        <w:ind w:firstLine="1134"/>
        <w:jc w:val="both"/>
        <w:rPr>
          <w:rFonts w:ascii="Times New Roman" w:hAnsi="Times New Roman" w:cs="Times New Roman"/>
          <w:color w:val="000000" w:themeColor="text1"/>
        </w:rPr>
      </w:pPr>
    </w:p>
    <w:p w14:paraId="0F20EE15" w14:textId="4EE2B1BF" w:rsidR="00F51D25" w:rsidRPr="001F2801" w:rsidRDefault="00F51D25" w:rsidP="001F2801">
      <w:pPr>
        <w:pStyle w:val="Default"/>
        <w:ind w:firstLine="1134"/>
        <w:jc w:val="both"/>
        <w:rPr>
          <w:rFonts w:ascii="Times New Roman" w:hAnsi="Times New Roman" w:cs="Times New Roman"/>
          <w:color w:val="000000" w:themeColor="text1"/>
        </w:rPr>
      </w:pPr>
      <w:r w:rsidRPr="001F2801">
        <w:rPr>
          <w:rFonts w:ascii="Times New Roman" w:hAnsi="Times New Roman" w:cs="Times New Roman"/>
          <w:color w:val="000000" w:themeColor="text1"/>
        </w:rPr>
        <w:t>Art. 2º Os valores especificados no Art. 1º deverão ser acrescidos aos valores fixados nas tabelas constantes n</w:t>
      </w:r>
      <w:r w:rsidR="00775D38" w:rsidRPr="001F2801">
        <w:rPr>
          <w:rFonts w:ascii="Times New Roman" w:hAnsi="Times New Roman" w:cs="Times New Roman"/>
          <w:color w:val="000000" w:themeColor="text1"/>
        </w:rPr>
        <w:t>a</w:t>
      </w:r>
      <w:r w:rsidRPr="001F2801">
        <w:rPr>
          <w:rFonts w:ascii="Times New Roman" w:hAnsi="Times New Roman" w:cs="Times New Roman"/>
          <w:color w:val="000000" w:themeColor="text1"/>
        </w:rPr>
        <w:t xml:space="preserve"> Estadual de Emolumentos (Lei nº 9.109, de 2009)</w:t>
      </w:r>
      <w:r w:rsidR="00775D38" w:rsidRPr="001F2801">
        <w:rPr>
          <w:rFonts w:ascii="Times New Roman" w:hAnsi="Times New Roman" w:cs="Times New Roman"/>
          <w:color w:val="000000" w:themeColor="text1"/>
        </w:rPr>
        <w:t>.</w:t>
      </w:r>
    </w:p>
    <w:p w14:paraId="26E2FBD0" w14:textId="77777777" w:rsidR="00F51D25" w:rsidRPr="001F2801" w:rsidRDefault="00F51D25" w:rsidP="00F51D25">
      <w:pPr>
        <w:pStyle w:val="Default"/>
        <w:jc w:val="both"/>
        <w:rPr>
          <w:rFonts w:ascii="Times New Roman" w:hAnsi="Times New Roman" w:cs="Times New Roman"/>
          <w:color w:val="000000" w:themeColor="text1"/>
        </w:rPr>
      </w:pPr>
    </w:p>
    <w:p w14:paraId="50CCCA9C" w14:textId="7F3354CE" w:rsidR="00C9388E" w:rsidRPr="001F2801" w:rsidRDefault="00C9388E" w:rsidP="001F2801">
      <w:pPr>
        <w:pStyle w:val="Default"/>
        <w:ind w:firstLine="1134"/>
        <w:jc w:val="both"/>
        <w:rPr>
          <w:rFonts w:ascii="Times New Roman" w:hAnsi="Times New Roman" w:cs="Times New Roman"/>
          <w:color w:val="000000" w:themeColor="text1"/>
        </w:rPr>
      </w:pPr>
      <w:r w:rsidRPr="001F2801">
        <w:rPr>
          <w:rFonts w:ascii="Times New Roman" w:hAnsi="Times New Roman" w:cs="Times New Roman"/>
          <w:color w:val="000000" w:themeColor="text1"/>
        </w:rPr>
        <w:t xml:space="preserve">Art. </w:t>
      </w:r>
      <w:r w:rsidR="00775D38" w:rsidRPr="001F2801">
        <w:rPr>
          <w:rFonts w:ascii="Times New Roman" w:hAnsi="Times New Roman" w:cs="Times New Roman"/>
          <w:color w:val="000000" w:themeColor="text1"/>
        </w:rPr>
        <w:t>3</w:t>
      </w:r>
      <w:r w:rsidRPr="001F2801">
        <w:rPr>
          <w:rFonts w:ascii="Times New Roman" w:hAnsi="Times New Roman" w:cs="Times New Roman"/>
          <w:color w:val="000000" w:themeColor="text1"/>
        </w:rPr>
        <w:t xml:space="preserve">º - </w:t>
      </w:r>
      <w:r w:rsidRPr="001F2801">
        <w:rPr>
          <w:rFonts w:ascii="Times New Roman" w:hAnsi="Times New Roman" w:cs="Times New Roman"/>
          <w:color w:val="000000" w:themeColor="text1"/>
          <w:shd w:val="clear" w:color="auto" w:fill="FFFFFF"/>
        </w:rPr>
        <w:t>Esta Lei entra em vigor na data da sua publicação, revogando-se todas as disposições em contrário.</w:t>
      </w:r>
    </w:p>
    <w:p w14:paraId="40C989E7" w14:textId="77777777" w:rsidR="001F2801" w:rsidRDefault="001F2801" w:rsidP="001F2801">
      <w:pPr>
        <w:spacing w:after="0"/>
        <w:rPr>
          <w:rFonts w:ascii="Times New Roman" w:hAnsi="Times New Roman" w:cs="Times New Roman"/>
          <w:b/>
          <w:bCs/>
          <w:color w:val="000000" w:themeColor="text1"/>
          <w:sz w:val="24"/>
          <w:szCs w:val="24"/>
        </w:rPr>
      </w:pPr>
    </w:p>
    <w:p w14:paraId="60E36699" w14:textId="77777777" w:rsidR="001F2801" w:rsidRDefault="001F2801" w:rsidP="001F2801">
      <w:pPr>
        <w:spacing w:after="0"/>
        <w:rPr>
          <w:rFonts w:ascii="Times New Roman" w:hAnsi="Times New Roman" w:cs="Times New Roman"/>
          <w:b/>
          <w:bCs/>
          <w:color w:val="000000" w:themeColor="text1"/>
          <w:sz w:val="24"/>
          <w:szCs w:val="24"/>
        </w:rPr>
      </w:pPr>
    </w:p>
    <w:p w14:paraId="442E1462" w14:textId="5BCE9799" w:rsidR="001F2801" w:rsidRPr="001F2801" w:rsidRDefault="001F2801" w:rsidP="001F2801">
      <w:pPr>
        <w:pStyle w:val="Corpodetexto"/>
        <w:spacing w:before="5"/>
        <w:ind w:firstLine="567"/>
        <w:jc w:val="both"/>
        <w:rPr>
          <w:b/>
        </w:rPr>
      </w:pPr>
      <w:r w:rsidRPr="001F2801">
        <w:rPr>
          <w:b/>
        </w:rPr>
        <w:t>PLENÁRIO DEPUTADO “NAGIB HAICKEL” DO PALÁCIO “MANUEL BECKMAN”, EM 1</w:t>
      </w:r>
      <w:r>
        <w:rPr>
          <w:b/>
        </w:rPr>
        <w:t>7</w:t>
      </w:r>
      <w:r w:rsidRPr="001F2801">
        <w:rPr>
          <w:b/>
        </w:rPr>
        <w:t xml:space="preserve"> DE MARÇO DE 2025</w:t>
      </w:r>
    </w:p>
    <w:p w14:paraId="36D0D409" w14:textId="77777777" w:rsidR="001F2801" w:rsidRPr="001F2801" w:rsidRDefault="001F2801" w:rsidP="001F2801">
      <w:pPr>
        <w:pStyle w:val="Corpodetexto"/>
        <w:spacing w:before="5"/>
        <w:ind w:firstLine="567"/>
        <w:jc w:val="both"/>
        <w:rPr>
          <w:b/>
        </w:rPr>
      </w:pPr>
    </w:p>
    <w:p w14:paraId="04632E59" w14:textId="77777777" w:rsidR="001F2801" w:rsidRPr="001F2801" w:rsidRDefault="001F2801" w:rsidP="001F2801">
      <w:pPr>
        <w:jc w:val="both"/>
        <w:rPr>
          <w:rFonts w:ascii="Times New Roman" w:hAnsi="Times New Roman" w:cs="Times New Roman"/>
          <w:sz w:val="24"/>
          <w:szCs w:val="24"/>
        </w:rPr>
      </w:pPr>
    </w:p>
    <w:p w14:paraId="6BF5ADF9" w14:textId="77777777" w:rsidR="001F2801" w:rsidRPr="001F2801" w:rsidRDefault="001F2801" w:rsidP="001F2801">
      <w:pPr>
        <w:spacing w:after="0" w:line="240" w:lineRule="auto"/>
        <w:jc w:val="center"/>
        <w:rPr>
          <w:rFonts w:ascii="Times New Roman" w:hAnsi="Times New Roman" w:cs="Times New Roman"/>
          <w:b/>
          <w:sz w:val="24"/>
          <w:szCs w:val="24"/>
        </w:rPr>
      </w:pPr>
      <w:r w:rsidRPr="001F2801">
        <w:rPr>
          <w:rFonts w:ascii="Times New Roman" w:hAnsi="Times New Roman" w:cs="Times New Roman"/>
          <w:b/>
          <w:sz w:val="24"/>
          <w:szCs w:val="24"/>
        </w:rPr>
        <w:t>DALTON ARRUDA</w:t>
      </w:r>
    </w:p>
    <w:p w14:paraId="4B2018A6" w14:textId="77777777" w:rsidR="001F2801" w:rsidRPr="001F2801" w:rsidRDefault="001F2801" w:rsidP="001F2801">
      <w:pPr>
        <w:spacing w:after="0" w:line="240" w:lineRule="auto"/>
        <w:jc w:val="center"/>
        <w:rPr>
          <w:rFonts w:ascii="Times New Roman" w:hAnsi="Times New Roman" w:cs="Times New Roman"/>
          <w:b/>
          <w:sz w:val="24"/>
          <w:szCs w:val="24"/>
        </w:rPr>
      </w:pPr>
      <w:r w:rsidRPr="001F2801">
        <w:rPr>
          <w:rFonts w:ascii="Times New Roman" w:hAnsi="Times New Roman" w:cs="Times New Roman"/>
          <w:b/>
          <w:sz w:val="24"/>
          <w:szCs w:val="24"/>
        </w:rPr>
        <w:t>DEPUTADO ESTADUAL – PSD</w:t>
      </w:r>
    </w:p>
    <w:p w14:paraId="295E876D" w14:textId="77777777" w:rsidR="001F2801" w:rsidRDefault="001F2801" w:rsidP="001F2801">
      <w:pPr>
        <w:pStyle w:val="Corpodetexto"/>
        <w:spacing w:before="5"/>
        <w:rPr>
          <w:bCs/>
          <w:lang w:val="pt-BR"/>
        </w:rPr>
      </w:pPr>
    </w:p>
    <w:p w14:paraId="55D87DE5" w14:textId="77777777" w:rsidR="001F2801" w:rsidRDefault="001F2801" w:rsidP="001F2801">
      <w:pPr>
        <w:spacing w:after="0"/>
        <w:rPr>
          <w:rFonts w:ascii="Times New Roman" w:hAnsi="Times New Roman" w:cs="Times New Roman"/>
          <w:b/>
          <w:bCs/>
          <w:color w:val="000000" w:themeColor="text1"/>
          <w:sz w:val="24"/>
          <w:szCs w:val="24"/>
        </w:rPr>
      </w:pPr>
    </w:p>
    <w:p w14:paraId="7D9E7CFE" w14:textId="77777777" w:rsidR="001F2801" w:rsidRDefault="001F2801" w:rsidP="001F2801">
      <w:pPr>
        <w:spacing w:after="0"/>
        <w:rPr>
          <w:rFonts w:ascii="Times New Roman" w:hAnsi="Times New Roman" w:cs="Times New Roman"/>
          <w:b/>
          <w:bCs/>
          <w:color w:val="000000" w:themeColor="text1"/>
          <w:sz w:val="24"/>
          <w:szCs w:val="24"/>
        </w:rPr>
      </w:pPr>
    </w:p>
    <w:p w14:paraId="666DF068" w14:textId="77777777" w:rsidR="001F2801" w:rsidRDefault="001F2801" w:rsidP="006235D9">
      <w:pPr>
        <w:spacing w:after="0"/>
        <w:jc w:val="center"/>
        <w:rPr>
          <w:rFonts w:ascii="Times New Roman" w:hAnsi="Times New Roman" w:cs="Times New Roman"/>
          <w:b/>
          <w:bCs/>
          <w:color w:val="000000" w:themeColor="text1"/>
          <w:sz w:val="24"/>
          <w:szCs w:val="24"/>
        </w:rPr>
      </w:pPr>
    </w:p>
    <w:p w14:paraId="549F5AFC" w14:textId="77777777" w:rsidR="001F2801" w:rsidRDefault="001F2801" w:rsidP="006235D9">
      <w:pPr>
        <w:spacing w:after="0"/>
        <w:jc w:val="center"/>
        <w:rPr>
          <w:rFonts w:ascii="Times New Roman" w:hAnsi="Times New Roman" w:cs="Times New Roman"/>
          <w:b/>
          <w:bCs/>
          <w:color w:val="000000" w:themeColor="text1"/>
          <w:sz w:val="24"/>
          <w:szCs w:val="24"/>
        </w:rPr>
      </w:pPr>
    </w:p>
    <w:p w14:paraId="3B4E26CB" w14:textId="77777777" w:rsidR="001F2801" w:rsidRDefault="001F2801" w:rsidP="006235D9">
      <w:pPr>
        <w:spacing w:after="0"/>
        <w:jc w:val="center"/>
        <w:rPr>
          <w:rFonts w:ascii="Times New Roman" w:hAnsi="Times New Roman" w:cs="Times New Roman"/>
          <w:b/>
          <w:bCs/>
          <w:color w:val="000000" w:themeColor="text1"/>
          <w:sz w:val="24"/>
          <w:szCs w:val="24"/>
        </w:rPr>
      </w:pPr>
    </w:p>
    <w:p w14:paraId="0301B8F1" w14:textId="77777777" w:rsidR="001F2801" w:rsidRDefault="001F2801" w:rsidP="006235D9">
      <w:pPr>
        <w:spacing w:after="0"/>
        <w:jc w:val="center"/>
        <w:rPr>
          <w:rFonts w:ascii="Times New Roman" w:hAnsi="Times New Roman" w:cs="Times New Roman"/>
          <w:b/>
          <w:bCs/>
          <w:color w:val="000000" w:themeColor="text1"/>
          <w:sz w:val="24"/>
          <w:szCs w:val="24"/>
        </w:rPr>
      </w:pPr>
    </w:p>
    <w:p w14:paraId="244EDFBA" w14:textId="77777777" w:rsidR="001F2801" w:rsidRDefault="001F2801" w:rsidP="006235D9">
      <w:pPr>
        <w:spacing w:after="0"/>
        <w:jc w:val="center"/>
        <w:rPr>
          <w:rFonts w:ascii="Times New Roman" w:hAnsi="Times New Roman" w:cs="Times New Roman"/>
          <w:b/>
          <w:bCs/>
          <w:color w:val="000000" w:themeColor="text1"/>
          <w:sz w:val="24"/>
          <w:szCs w:val="24"/>
        </w:rPr>
      </w:pPr>
    </w:p>
    <w:p w14:paraId="738A7FB2" w14:textId="59FAA568" w:rsidR="006235D9" w:rsidRPr="001F2801" w:rsidRDefault="006235D9" w:rsidP="006235D9">
      <w:pPr>
        <w:spacing w:after="0"/>
        <w:jc w:val="center"/>
        <w:rPr>
          <w:rFonts w:ascii="Times New Roman" w:hAnsi="Times New Roman" w:cs="Times New Roman"/>
          <w:b/>
          <w:bCs/>
          <w:color w:val="000000" w:themeColor="text1"/>
          <w:sz w:val="24"/>
          <w:szCs w:val="24"/>
        </w:rPr>
      </w:pPr>
      <w:r w:rsidRPr="001F2801">
        <w:rPr>
          <w:rFonts w:ascii="Times New Roman" w:hAnsi="Times New Roman" w:cs="Times New Roman"/>
          <w:b/>
          <w:bCs/>
          <w:color w:val="000000" w:themeColor="text1"/>
          <w:sz w:val="24"/>
          <w:szCs w:val="24"/>
        </w:rPr>
        <w:lastRenderedPageBreak/>
        <w:t>JUSTIFICATIVA</w:t>
      </w:r>
    </w:p>
    <w:p w14:paraId="2351BBB6" w14:textId="77777777" w:rsidR="006235D9" w:rsidRPr="001F2801" w:rsidRDefault="006235D9" w:rsidP="006235D9">
      <w:pPr>
        <w:spacing w:after="0"/>
        <w:jc w:val="both"/>
        <w:rPr>
          <w:rFonts w:ascii="Times New Roman" w:hAnsi="Times New Roman" w:cs="Times New Roman"/>
          <w:color w:val="000000" w:themeColor="text1"/>
          <w:sz w:val="24"/>
          <w:szCs w:val="24"/>
        </w:rPr>
      </w:pPr>
    </w:p>
    <w:p w14:paraId="56BED98D" w14:textId="77777777" w:rsidR="001F2801" w:rsidRPr="001F2801" w:rsidRDefault="001F2801" w:rsidP="001F2801">
      <w:pPr>
        <w:ind w:firstLine="1134"/>
        <w:jc w:val="both"/>
        <w:rPr>
          <w:rFonts w:ascii="Times New Roman" w:hAnsi="Times New Roman" w:cs="Times New Roman"/>
          <w:bCs/>
          <w:sz w:val="24"/>
          <w:szCs w:val="24"/>
        </w:rPr>
      </w:pPr>
      <w:r w:rsidRPr="001F2801">
        <w:rPr>
          <w:rFonts w:ascii="Times New Roman" w:hAnsi="Times New Roman" w:cs="Times New Roman"/>
          <w:bCs/>
          <w:sz w:val="24"/>
          <w:szCs w:val="24"/>
        </w:rPr>
        <w:t>Excelentíssimos Senhores e Senhoras Legisladores,</w:t>
      </w:r>
    </w:p>
    <w:p w14:paraId="151C3A2A" w14:textId="77777777" w:rsidR="00F8436E" w:rsidRPr="001F2801" w:rsidRDefault="00F8436E" w:rsidP="006235D9">
      <w:pPr>
        <w:spacing w:after="0"/>
        <w:jc w:val="both"/>
        <w:rPr>
          <w:rFonts w:ascii="Times New Roman" w:hAnsi="Times New Roman" w:cs="Times New Roman"/>
          <w:color w:val="000000" w:themeColor="text1"/>
          <w:sz w:val="24"/>
          <w:szCs w:val="24"/>
        </w:rPr>
      </w:pPr>
    </w:p>
    <w:p w14:paraId="1F33F72C" w14:textId="5A376112" w:rsidR="00681484" w:rsidRPr="001F2801" w:rsidRDefault="00681484" w:rsidP="001F2801">
      <w:pPr>
        <w:spacing w:after="0"/>
        <w:ind w:firstLine="1134"/>
        <w:jc w:val="both"/>
        <w:rPr>
          <w:rFonts w:ascii="Times New Roman" w:hAnsi="Times New Roman" w:cs="Times New Roman"/>
          <w:color w:val="000000" w:themeColor="text1"/>
          <w:sz w:val="24"/>
          <w:szCs w:val="24"/>
        </w:rPr>
      </w:pPr>
      <w:r w:rsidRPr="001F2801">
        <w:rPr>
          <w:rFonts w:ascii="Times New Roman" w:hAnsi="Times New Roman" w:cs="Times New Roman"/>
          <w:color w:val="000000" w:themeColor="text1"/>
          <w:sz w:val="24"/>
          <w:szCs w:val="24"/>
        </w:rPr>
        <w:t>Os emolumentos</w:t>
      </w:r>
      <w:r w:rsidR="00506FDC" w:rsidRPr="001F2801">
        <w:rPr>
          <w:rFonts w:ascii="Times New Roman" w:hAnsi="Times New Roman" w:cs="Times New Roman"/>
          <w:color w:val="000000" w:themeColor="text1"/>
          <w:sz w:val="24"/>
          <w:szCs w:val="24"/>
        </w:rPr>
        <w:t xml:space="preserve"> </w:t>
      </w:r>
      <w:r w:rsidR="005B5072" w:rsidRPr="001F2801">
        <w:rPr>
          <w:rFonts w:ascii="Times New Roman" w:hAnsi="Times New Roman" w:cs="Times New Roman"/>
          <w:color w:val="000000" w:themeColor="text1"/>
          <w:sz w:val="24"/>
          <w:szCs w:val="24"/>
        </w:rPr>
        <w:t>de</w:t>
      </w:r>
      <w:r w:rsidR="00506FDC" w:rsidRPr="001F2801">
        <w:rPr>
          <w:rFonts w:ascii="Times New Roman" w:hAnsi="Times New Roman" w:cs="Times New Roman"/>
          <w:color w:val="000000" w:themeColor="text1"/>
          <w:sz w:val="24"/>
          <w:szCs w:val="24"/>
        </w:rPr>
        <w:t xml:space="preserve"> que trata o art. 236, § 2º, da Constituição Federal e regulamentados</w:t>
      </w:r>
      <w:r w:rsidR="005B5072" w:rsidRPr="001F2801">
        <w:rPr>
          <w:rFonts w:ascii="Times New Roman" w:hAnsi="Times New Roman" w:cs="Times New Roman"/>
          <w:color w:val="000000" w:themeColor="text1"/>
          <w:sz w:val="24"/>
          <w:szCs w:val="24"/>
        </w:rPr>
        <w:t xml:space="preserve"> pela Lei n° 10.169/2000, </w:t>
      </w:r>
      <w:r w:rsidRPr="001F2801">
        <w:rPr>
          <w:rFonts w:ascii="Times New Roman" w:hAnsi="Times New Roman" w:cs="Times New Roman"/>
          <w:color w:val="000000" w:themeColor="text1"/>
          <w:sz w:val="24"/>
          <w:szCs w:val="24"/>
        </w:rPr>
        <w:t xml:space="preserve">têm natureza tributária equiparada a taxa, cujos valores são fixados em </w:t>
      </w:r>
      <w:r w:rsidR="00506FDC" w:rsidRPr="001F2801">
        <w:rPr>
          <w:rFonts w:ascii="Times New Roman" w:hAnsi="Times New Roman" w:cs="Times New Roman"/>
          <w:color w:val="000000" w:themeColor="text1"/>
          <w:sz w:val="24"/>
          <w:szCs w:val="24"/>
        </w:rPr>
        <w:t xml:space="preserve">Lei </w:t>
      </w:r>
      <w:r w:rsidRPr="001F2801">
        <w:rPr>
          <w:rFonts w:ascii="Times New Roman" w:hAnsi="Times New Roman" w:cs="Times New Roman"/>
          <w:color w:val="000000" w:themeColor="text1"/>
          <w:sz w:val="24"/>
          <w:szCs w:val="24"/>
        </w:rPr>
        <w:t xml:space="preserve">Estadual, não podendo, portanto, haver </w:t>
      </w:r>
      <w:r w:rsidR="00161B6C" w:rsidRPr="001F2801">
        <w:rPr>
          <w:rFonts w:ascii="Times New Roman" w:hAnsi="Times New Roman" w:cs="Times New Roman"/>
          <w:color w:val="000000" w:themeColor="text1"/>
          <w:sz w:val="24"/>
          <w:szCs w:val="24"/>
        </w:rPr>
        <w:t>dedução</w:t>
      </w:r>
      <w:r w:rsidRPr="001F2801">
        <w:rPr>
          <w:rFonts w:ascii="Times New Roman" w:hAnsi="Times New Roman" w:cs="Times New Roman"/>
          <w:color w:val="000000" w:themeColor="text1"/>
          <w:sz w:val="24"/>
          <w:szCs w:val="24"/>
        </w:rPr>
        <w:t xml:space="preserve"> sobre tal remuneração</w:t>
      </w:r>
      <w:r w:rsidR="00506FDC" w:rsidRPr="001F2801">
        <w:rPr>
          <w:rFonts w:ascii="Times New Roman" w:hAnsi="Times New Roman" w:cs="Times New Roman"/>
          <w:color w:val="000000" w:themeColor="text1"/>
          <w:sz w:val="24"/>
          <w:szCs w:val="24"/>
        </w:rPr>
        <w:t xml:space="preserve"> de valores</w:t>
      </w:r>
      <w:r w:rsidR="00161B6C" w:rsidRPr="001F2801">
        <w:rPr>
          <w:rFonts w:ascii="Times New Roman" w:hAnsi="Times New Roman" w:cs="Times New Roman"/>
          <w:color w:val="000000" w:themeColor="text1"/>
          <w:sz w:val="24"/>
          <w:szCs w:val="24"/>
        </w:rPr>
        <w:t xml:space="preserve"> relativos a fundos e/ou</w:t>
      </w:r>
      <w:r w:rsidR="00506FDC" w:rsidRPr="001F2801">
        <w:rPr>
          <w:rFonts w:ascii="Times New Roman" w:hAnsi="Times New Roman" w:cs="Times New Roman"/>
          <w:color w:val="000000" w:themeColor="text1"/>
          <w:sz w:val="24"/>
          <w:szCs w:val="24"/>
        </w:rPr>
        <w:t xml:space="preserve"> tribut</w:t>
      </w:r>
      <w:r w:rsidR="00161B6C" w:rsidRPr="001F2801">
        <w:rPr>
          <w:rFonts w:ascii="Times New Roman" w:hAnsi="Times New Roman" w:cs="Times New Roman"/>
          <w:color w:val="000000" w:themeColor="text1"/>
          <w:sz w:val="24"/>
          <w:szCs w:val="24"/>
        </w:rPr>
        <w:t>os</w:t>
      </w:r>
      <w:r w:rsidR="00506FDC" w:rsidRPr="001F2801">
        <w:rPr>
          <w:rFonts w:ascii="Times New Roman" w:hAnsi="Times New Roman" w:cs="Times New Roman"/>
          <w:color w:val="000000" w:themeColor="text1"/>
          <w:sz w:val="24"/>
          <w:szCs w:val="24"/>
        </w:rPr>
        <w:t xml:space="preserve"> incidentes instituídos por lei do município da sede da serventia, por força de Lei Complementar Estadual ou Federal.</w:t>
      </w:r>
    </w:p>
    <w:p w14:paraId="2B17A716" w14:textId="77777777" w:rsidR="006235D9" w:rsidRPr="001F2801" w:rsidRDefault="006235D9" w:rsidP="001F2801">
      <w:pPr>
        <w:spacing w:after="0"/>
        <w:ind w:firstLine="1134"/>
        <w:jc w:val="both"/>
        <w:rPr>
          <w:rFonts w:ascii="Times New Roman" w:hAnsi="Times New Roman" w:cs="Times New Roman"/>
          <w:color w:val="000000" w:themeColor="text1"/>
          <w:sz w:val="24"/>
          <w:szCs w:val="24"/>
        </w:rPr>
      </w:pPr>
      <w:r w:rsidRPr="001F2801">
        <w:rPr>
          <w:rFonts w:ascii="Times New Roman" w:hAnsi="Times New Roman" w:cs="Times New Roman"/>
          <w:color w:val="000000" w:themeColor="text1"/>
          <w:sz w:val="24"/>
          <w:szCs w:val="24"/>
        </w:rPr>
        <w:t xml:space="preserve">Por sua vez, a Lei Federal nº 8.935/94 estabelece que os emolumentos constituem a </w:t>
      </w:r>
      <w:r w:rsidRPr="001F2801">
        <w:rPr>
          <w:rFonts w:ascii="Times New Roman" w:hAnsi="Times New Roman" w:cs="Times New Roman"/>
          <w:i/>
          <w:color w:val="000000" w:themeColor="text1"/>
          <w:sz w:val="24"/>
          <w:szCs w:val="24"/>
        </w:rPr>
        <w:t>remuneração</w:t>
      </w:r>
      <w:r w:rsidRPr="001F2801">
        <w:rPr>
          <w:rFonts w:ascii="Times New Roman" w:hAnsi="Times New Roman" w:cs="Times New Roman"/>
          <w:color w:val="000000" w:themeColor="text1"/>
          <w:sz w:val="24"/>
          <w:szCs w:val="24"/>
        </w:rPr>
        <w:t xml:space="preserve"> devida aos Oficiais de Notas e Registros pelo serviço prestado, estando, assim, sujeitos à tributação do Imposto de Renda da Pessoa Física, sendo, essa base de cálculo, a mesma do Imposto Sobre Serviços, o que implica dupla tributação.</w:t>
      </w:r>
    </w:p>
    <w:p w14:paraId="797DCF40" w14:textId="2CB00787" w:rsidR="00A63894" w:rsidRPr="001F2801" w:rsidRDefault="006235D9" w:rsidP="001F2801">
      <w:pPr>
        <w:spacing w:after="0"/>
        <w:ind w:firstLine="1134"/>
        <w:jc w:val="both"/>
        <w:rPr>
          <w:rFonts w:ascii="Times New Roman" w:hAnsi="Times New Roman" w:cs="Times New Roman"/>
          <w:color w:val="000000" w:themeColor="text1"/>
          <w:sz w:val="24"/>
          <w:szCs w:val="24"/>
        </w:rPr>
      </w:pPr>
      <w:r w:rsidRPr="001F2801">
        <w:rPr>
          <w:rFonts w:ascii="Times New Roman" w:hAnsi="Times New Roman" w:cs="Times New Roman"/>
          <w:color w:val="000000" w:themeColor="text1"/>
          <w:sz w:val="24"/>
          <w:szCs w:val="24"/>
        </w:rPr>
        <w:t xml:space="preserve">A mesma Lei nº 8.935/94, em seu artigo 28, </w:t>
      </w:r>
      <w:r w:rsidR="00653FD3" w:rsidRPr="001F2801">
        <w:rPr>
          <w:rFonts w:ascii="Times New Roman" w:hAnsi="Times New Roman" w:cs="Times New Roman"/>
          <w:color w:val="000000" w:themeColor="text1"/>
          <w:sz w:val="24"/>
          <w:szCs w:val="24"/>
        </w:rPr>
        <w:t>assegura</w:t>
      </w:r>
      <w:r w:rsidRPr="001F2801">
        <w:rPr>
          <w:rFonts w:ascii="Times New Roman" w:hAnsi="Times New Roman" w:cs="Times New Roman"/>
          <w:color w:val="000000" w:themeColor="text1"/>
          <w:sz w:val="24"/>
          <w:szCs w:val="24"/>
        </w:rPr>
        <w:t xml:space="preserve"> que os notários e oficiais de registro “</w:t>
      </w:r>
      <w:r w:rsidRPr="001F2801">
        <w:rPr>
          <w:rFonts w:ascii="Times New Roman" w:hAnsi="Times New Roman" w:cs="Times New Roman"/>
          <w:i/>
          <w:iCs/>
          <w:color w:val="000000" w:themeColor="text1"/>
          <w:sz w:val="24"/>
          <w:szCs w:val="24"/>
        </w:rPr>
        <w:t>(...) têm direito à percepção dos emolumentos integrais pelos atos praticados na serventia (...)</w:t>
      </w:r>
      <w:r w:rsidRPr="001F2801">
        <w:rPr>
          <w:rFonts w:ascii="Times New Roman" w:hAnsi="Times New Roman" w:cs="Times New Roman"/>
          <w:color w:val="000000" w:themeColor="text1"/>
          <w:sz w:val="24"/>
          <w:szCs w:val="24"/>
        </w:rPr>
        <w:t>”.</w:t>
      </w:r>
    </w:p>
    <w:p w14:paraId="345A91B1" w14:textId="3860364E" w:rsidR="00A63894" w:rsidRPr="001F2801" w:rsidRDefault="00A63894" w:rsidP="001F2801">
      <w:pPr>
        <w:spacing w:after="0"/>
        <w:ind w:firstLine="1134"/>
        <w:jc w:val="both"/>
        <w:rPr>
          <w:rFonts w:ascii="Times New Roman" w:hAnsi="Times New Roman" w:cs="Times New Roman"/>
          <w:color w:val="000000" w:themeColor="text1"/>
          <w:sz w:val="24"/>
          <w:szCs w:val="24"/>
        </w:rPr>
      </w:pPr>
      <w:r w:rsidRPr="001F2801">
        <w:rPr>
          <w:rFonts w:ascii="Times New Roman" w:hAnsi="Times New Roman" w:cs="Times New Roman"/>
          <w:color w:val="000000" w:themeColor="text1"/>
          <w:sz w:val="24"/>
          <w:szCs w:val="24"/>
        </w:rPr>
        <w:t>No mesmo sentido,</w:t>
      </w:r>
      <w:r w:rsidR="000764B9" w:rsidRPr="001F2801">
        <w:rPr>
          <w:rFonts w:ascii="Times New Roman" w:hAnsi="Times New Roman" w:cs="Times New Roman"/>
          <w:color w:val="000000" w:themeColor="text1"/>
          <w:sz w:val="24"/>
          <w:szCs w:val="24"/>
        </w:rPr>
        <w:t xml:space="preserve"> o</w:t>
      </w:r>
      <w:r w:rsidRPr="001F2801">
        <w:rPr>
          <w:rFonts w:ascii="Times New Roman" w:hAnsi="Times New Roman" w:cs="Times New Roman"/>
          <w:color w:val="000000" w:themeColor="text1"/>
          <w:sz w:val="24"/>
          <w:szCs w:val="24"/>
        </w:rPr>
        <w:t xml:space="preserve"> Conselho Nacional de Justiça (CNJ), editou o</w:t>
      </w:r>
      <w:r w:rsidR="00BB5C14" w:rsidRPr="001F2801">
        <w:rPr>
          <w:rFonts w:ascii="Times New Roman" w:hAnsi="Times New Roman" w:cs="Times New Roman"/>
          <w:color w:val="000000" w:themeColor="text1"/>
          <w:sz w:val="24"/>
          <w:szCs w:val="24"/>
        </w:rPr>
        <w:t>s</w:t>
      </w:r>
      <w:r w:rsidRPr="001F2801">
        <w:rPr>
          <w:rFonts w:ascii="Times New Roman" w:hAnsi="Times New Roman" w:cs="Times New Roman"/>
          <w:color w:val="000000" w:themeColor="text1"/>
          <w:sz w:val="24"/>
          <w:szCs w:val="24"/>
        </w:rPr>
        <w:t xml:space="preserve"> Provimento</w:t>
      </w:r>
      <w:r w:rsidR="00BB5C14" w:rsidRPr="001F2801">
        <w:rPr>
          <w:rFonts w:ascii="Times New Roman" w:hAnsi="Times New Roman" w:cs="Times New Roman"/>
          <w:color w:val="000000" w:themeColor="text1"/>
          <w:sz w:val="24"/>
          <w:szCs w:val="24"/>
        </w:rPr>
        <w:t>s</w:t>
      </w:r>
      <w:r w:rsidRPr="001F2801">
        <w:rPr>
          <w:rFonts w:ascii="Times New Roman" w:hAnsi="Times New Roman" w:cs="Times New Roman"/>
          <w:color w:val="000000" w:themeColor="text1"/>
          <w:sz w:val="24"/>
          <w:szCs w:val="24"/>
        </w:rPr>
        <w:t xml:space="preserve"> </w:t>
      </w:r>
      <w:bookmarkStart w:id="0" w:name="_Hlk153255579"/>
      <w:r w:rsidRPr="001F2801">
        <w:rPr>
          <w:rFonts w:ascii="Times New Roman" w:hAnsi="Times New Roman" w:cs="Times New Roman"/>
          <w:color w:val="000000" w:themeColor="text1"/>
          <w:sz w:val="24"/>
          <w:szCs w:val="24"/>
        </w:rPr>
        <w:t>Nº</w:t>
      </w:r>
      <w:bookmarkEnd w:id="0"/>
      <w:r w:rsidRPr="001F2801">
        <w:rPr>
          <w:rFonts w:ascii="Times New Roman" w:hAnsi="Times New Roman" w:cs="Times New Roman"/>
          <w:color w:val="000000" w:themeColor="text1"/>
          <w:sz w:val="24"/>
          <w:szCs w:val="24"/>
        </w:rPr>
        <w:t xml:space="preserve"> 86, de 29 de agosto de 2019</w:t>
      </w:r>
      <w:r w:rsidR="000764B9" w:rsidRPr="001F2801">
        <w:rPr>
          <w:rFonts w:ascii="Times New Roman" w:hAnsi="Times New Roman" w:cs="Times New Roman"/>
          <w:color w:val="000000" w:themeColor="text1"/>
          <w:sz w:val="24"/>
          <w:szCs w:val="24"/>
        </w:rPr>
        <w:t xml:space="preserve"> e Nº 149</w:t>
      </w:r>
      <w:r w:rsidRPr="001F2801">
        <w:rPr>
          <w:rFonts w:ascii="Times New Roman" w:hAnsi="Times New Roman" w:cs="Times New Roman"/>
          <w:color w:val="000000" w:themeColor="text1"/>
          <w:sz w:val="24"/>
          <w:szCs w:val="24"/>
        </w:rPr>
        <w:t>,</w:t>
      </w:r>
      <w:r w:rsidR="000764B9" w:rsidRPr="001F2801">
        <w:rPr>
          <w:rFonts w:ascii="Times New Roman" w:hAnsi="Times New Roman" w:cs="Times New Roman"/>
          <w:color w:val="000000" w:themeColor="text1"/>
          <w:sz w:val="24"/>
          <w:szCs w:val="24"/>
        </w:rPr>
        <w:t xml:space="preserve"> de 30 de agosto de 2023,</w:t>
      </w:r>
      <w:r w:rsidRPr="001F2801">
        <w:rPr>
          <w:rFonts w:ascii="Times New Roman" w:hAnsi="Times New Roman" w:cs="Times New Roman"/>
          <w:color w:val="000000" w:themeColor="text1"/>
          <w:sz w:val="24"/>
          <w:szCs w:val="24"/>
        </w:rPr>
        <w:t xml:space="preserve"> </w:t>
      </w:r>
      <w:r w:rsidR="000764B9" w:rsidRPr="001F2801">
        <w:rPr>
          <w:rFonts w:ascii="Times New Roman" w:hAnsi="Times New Roman" w:cs="Times New Roman"/>
          <w:color w:val="000000" w:themeColor="text1"/>
          <w:sz w:val="24"/>
          <w:szCs w:val="24"/>
        </w:rPr>
        <w:t>ratificando que</w:t>
      </w:r>
      <w:r w:rsidR="00BB5C14" w:rsidRPr="001F2801">
        <w:rPr>
          <w:rFonts w:ascii="Times New Roman" w:hAnsi="Times New Roman" w:cs="Times New Roman"/>
          <w:color w:val="000000" w:themeColor="text1"/>
          <w:sz w:val="24"/>
          <w:szCs w:val="24"/>
        </w:rPr>
        <w:t>,</w:t>
      </w:r>
      <w:r w:rsidR="000764B9" w:rsidRPr="001F2801">
        <w:rPr>
          <w:rFonts w:ascii="Times New Roman" w:hAnsi="Times New Roman" w:cs="Times New Roman"/>
          <w:color w:val="000000" w:themeColor="text1"/>
          <w:sz w:val="24"/>
          <w:szCs w:val="24"/>
        </w:rPr>
        <w:t xml:space="preserve"> aos os notários e/ou os registradores, </w:t>
      </w:r>
      <w:r w:rsidRPr="001F2801">
        <w:rPr>
          <w:rFonts w:ascii="Times New Roman" w:hAnsi="Times New Roman" w:cs="Times New Roman"/>
          <w:color w:val="000000" w:themeColor="text1"/>
          <w:sz w:val="24"/>
          <w:szCs w:val="24"/>
        </w:rPr>
        <w:t>pelos atos que praticarem</w:t>
      </w:r>
      <w:r w:rsidR="000764B9" w:rsidRPr="001F2801">
        <w:rPr>
          <w:rFonts w:ascii="Times New Roman" w:hAnsi="Times New Roman" w:cs="Times New Roman"/>
          <w:color w:val="000000" w:themeColor="text1"/>
          <w:sz w:val="24"/>
          <w:szCs w:val="24"/>
        </w:rPr>
        <w:t>,</w:t>
      </w:r>
      <w:r w:rsidRPr="001F2801">
        <w:rPr>
          <w:rFonts w:ascii="Times New Roman" w:hAnsi="Times New Roman" w:cs="Times New Roman"/>
          <w:color w:val="000000" w:themeColor="text1"/>
          <w:sz w:val="24"/>
          <w:szCs w:val="24"/>
        </w:rPr>
        <w:t xml:space="preserve"> perceberão diretamente das partes, a título de remuneração, os emolumentos integrais a eles destinados, fixados pela lei da respectiva unidade da Federação, além do reembolso dos tributos, tarifas, demais despesas e dos acréscimos instituídos por lei a título de taxa de fiscalização do serviço extrajudicial, custas, contribuições, custeio de atos gratuitos, e à entidade previdenciária ou assistencial.</w:t>
      </w:r>
    </w:p>
    <w:p w14:paraId="4E91B145" w14:textId="1F73B918" w:rsidR="006235D9" w:rsidRPr="001F2801" w:rsidRDefault="006235D9" w:rsidP="001F2801">
      <w:pPr>
        <w:spacing w:after="0"/>
        <w:ind w:firstLine="1134"/>
        <w:jc w:val="both"/>
        <w:rPr>
          <w:rFonts w:ascii="Times New Roman" w:hAnsi="Times New Roman" w:cs="Times New Roman"/>
          <w:color w:val="000000" w:themeColor="text1"/>
          <w:sz w:val="24"/>
          <w:szCs w:val="24"/>
        </w:rPr>
      </w:pPr>
      <w:r w:rsidRPr="001F2801">
        <w:rPr>
          <w:rFonts w:ascii="Times New Roman" w:hAnsi="Times New Roman" w:cs="Times New Roman"/>
          <w:color w:val="000000" w:themeColor="text1"/>
          <w:sz w:val="24"/>
          <w:szCs w:val="24"/>
        </w:rPr>
        <w:t xml:space="preserve">Acrescente-se que os serviços notariais e registrais são serviços públicos em relação aos quais o prestador, apesar de contar com uma gestão privada, não pode estipular o preço, como ocorre na prestação de quaisquer outros serviços de natureza privada, não podendo ser caracterizados como atividade lucrativa. </w:t>
      </w:r>
    </w:p>
    <w:p w14:paraId="36145931" w14:textId="2D658F50" w:rsidR="006235D9" w:rsidRPr="001F2801" w:rsidRDefault="006235D9" w:rsidP="001F2801">
      <w:pPr>
        <w:spacing w:after="0"/>
        <w:ind w:firstLine="1134"/>
        <w:jc w:val="both"/>
        <w:rPr>
          <w:rFonts w:ascii="Times New Roman" w:hAnsi="Times New Roman" w:cs="Times New Roman"/>
          <w:color w:val="000000" w:themeColor="text1"/>
          <w:sz w:val="24"/>
          <w:szCs w:val="24"/>
        </w:rPr>
      </w:pPr>
      <w:r w:rsidRPr="001F2801">
        <w:rPr>
          <w:rFonts w:ascii="Times New Roman" w:hAnsi="Times New Roman" w:cs="Times New Roman"/>
          <w:color w:val="000000" w:themeColor="text1"/>
          <w:sz w:val="24"/>
          <w:szCs w:val="24"/>
        </w:rPr>
        <w:t>Nesse sentido, a jurisprudência pátria é uníssona quanto à possibilidade legislativa</w:t>
      </w:r>
      <w:r w:rsidR="00855D6D" w:rsidRPr="001F2801">
        <w:rPr>
          <w:rFonts w:ascii="Times New Roman" w:hAnsi="Times New Roman" w:cs="Times New Roman"/>
          <w:color w:val="000000" w:themeColor="text1"/>
          <w:sz w:val="24"/>
          <w:szCs w:val="24"/>
        </w:rPr>
        <w:t xml:space="preserve"> de</w:t>
      </w:r>
      <w:r w:rsidRPr="001F2801">
        <w:rPr>
          <w:rFonts w:ascii="Times New Roman" w:hAnsi="Times New Roman" w:cs="Times New Roman"/>
          <w:color w:val="000000" w:themeColor="text1"/>
          <w:sz w:val="24"/>
          <w:szCs w:val="24"/>
        </w:rPr>
        <w:t xml:space="preserve"> estabelecer que o contribuinte desse imposto, na hipótese dos serviços prestados pelos Oficiais de Registros e de Notas, possa vir a ser o tomador do serviço e não o prestador como regra geral, se assim estabelecer a legislação estadual.</w:t>
      </w:r>
    </w:p>
    <w:p w14:paraId="51426C57" w14:textId="77777777" w:rsidR="006235D9" w:rsidRPr="001F2801" w:rsidRDefault="006235D9" w:rsidP="001F2801">
      <w:pPr>
        <w:spacing w:after="0"/>
        <w:ind w:firstLine="1134"/>
        <w:jc w:val="both"/>
        <w:rPr>
          <w:rFonts w:ascii="Times New Roman" w:hAnsi="Times New Roman" w:cs="Times New Roman"/>
          <w:color w:val="000000" w:themeColor="text1"/>
          <w:sz w:val="24"/>
          <w:szCs w:val="24"/>
        </w:rPr>
      </w:pPr>
      <w:r w:rsidRPr="001F2801">
        <w:rPr>
          <w:rFonts w:ascii="Times New Roman" w:hAnsi="Times New Roman" w:cs="Times New Roman"/>
          <w:color w:val="000000" w:themeColor="text1"/>
          <w:sz w:val="24"/>
          <w:szCs w:val="24"/>
        </w:rPr>
        <w:t>A doutrina também reconhece que, em regra, o ISSQN é imposto indireto, pois cobrado do tomador dos serviços, ou seja, do contribuinte de fato (Leandro Paulsen, Direito tributário, Livraria do Advogado, 2001, p. 808; Láudio Camargo Fabretti, Código tributário nacional comentado, Saraiva, 1998, p. 146; Carlos Dalmiro da Silva Soares, Imposto sobre serviços de qualquer natureza (ISS ou ISQN), em Jus Navigandi).</w:t>
      </w:r>
    </w:p>
    <w:p w14:paraId="3C990127" w14:textId="643A8E8A" w:rsidR="006235D9" w:rsidRPr="001F2801" w:rsidRDefault="006235D9" w:rsidP="001F2801">
      <w:pPr>
        <w:spacing w:after="0"/>
        <w:ind w:firstLine="1134"/>
        <w:jc w:val="both"/>
        <w:rPr>
          <w:rFonts w:ascii="Times New Roman" w:hAnsi="Times New Roman" w:cs="Times New Roman"/>
          <w:color w:val="000000" w:themeColor="text1"/>
          <w:sz w:val="24"/>
          <w:szCs w:val="24"/>
        </w:rPr>
      </w:pPr>
      <w:r w:rsidRPr="001F2801">
        <w:rPr>
          <w:rFonts w:ascii="Times New Roman" w:hAnsi="Times New Roman" w:cs="Times New Roman"/>
          <w:color w:val="000000" w:themeColor="text1"/>
          <w:sz w:val="24"/>
          <w:szCs w:val="24"/>
        </w:rPr>
        <w:lastRenderedPageBreak/>
        <w:t xml:space="preserve">Destaque-se que em diversas capitais, tais como Teresina, Curitiba, Porto Alegre, Manaus, João Pessoa e Cuiabá, a legislação local estabeleceu que o contribuinte do Imposto sobre Serviços de Qualquer Natureza – ISSQN é o usuário tomador do serviço nos Ofícios de notas ou de registros, sendo atribuído, ao prestador do serviço, a apuração do imposto incidente sobre o serviço prestado especificando-o na nota de emolumentos, cobrando-o do contribuinte, repassando-o mensalmente ao Município, sendo essa sistemática adotada de modo crescente, em razão de sua praticidade, celeridade e justiça tributária. </w:t>
      </w:r>
    </w:p>
    <w:p w14:paraId="014AA415" w14:textId="77777777" w:rsidR="006235D9" w:rsidRPr="001F2801" w:rsidRDefault="006235D9" w:rsidP="001F2801">
      <w:pPr>
        <w:spacing w:after="0"/>
        <w:ind w:firstLine="1134"/>
        <w:jc w:val="both"/>
        <w:rPr>
          <w:rFonts w:ascii="Times New Roman" w:hAnsi="Times New Roman" w:cs="Times New Roman"/>
          <w:color w:val="000000" w:themeColor="text1"/>
          <w:sz w:val="24"/>
          <w:szCs w:val="24"/>
        </w:rPr>
      </w:pPr>
      <w:r w:rsidRPr="001F2801">
        <w:rPr>
          <w:rFonts w:ascii="Times New Roman" w:hAnsi="Times New Roman" w:cs="Times New Roman"/>
          <w:color w:val="000000" w:themeColor="text1"/>
          <w:sz w:val="24"/>
          <w:szCs w:val="24"/>
        </w:rPr>
        <w:t>Tratando-se de legislação estadual, nos Estados de Minas Gerais e de São Paulo, respectivamente, através das Leis Estaduais nº 22.796 de 28 de dezembro de 2017 e 15.600 de 11 de dezembro de 2014, já está solucionada a questão do repasse, devendo ser, obrigatoriamente, repassado ao usuário o ISSQN, pois ele compõe o custo do serviço por força de lei.</w:t>
      </w:r>
    </w:p>
    <w:p w14:paraId="44475B86" w14:textId="77777777" w:rsidR="006235D9" w:rsidRPr="001F2801" w:rsidRDefault="006235D9" w:rsidP="001F2801">
      <w:pPr>
        <w:spacing w:after="0"/>
        <w:ind w:firstLine="1134"/>
        <w:jc w:val="both"/>
        <w:rPr>
          <w:rFonts w:ascii="Times New Roman" w:hAnsi="Times New Roman" w:cs="Times New Roman"/>
          <w:color w:val="000000" w:themeColor="text1"/>
          <w:sz w:val="24"/>
          <w:szCs w:val="24"/>
        </w:rPr>
      </w:pPr>
      <w:r w:rsidRPr="001F2801">
        <w:rPr>
          <w:rFonts w:ascii="Times New Roman" w:hAnsi="Times New Roman" w:cs="Times New Roman"/>
          <w:color w:val="000000" w:themeColor="text1"/>
          <w:sz w:val="24"/>
          <w:szCs w:val="24"/>
        </w:rPr>
        <w:t>Não se pode olvidar que a sistemática adotada facilita a arrecadação do Imposto Sobre Serviços, oferecendo aos Municípios maior objetividade na aplicação da legislação tributária municipal frente à complexidade existente na interpretação da legislação de regência da matéria, trazendo maior transparência a todos os envolvidos.</w:t>
      </w:r>
    </w:p>
    <w:p w14:paraId="0B5F7956" w14:textId="77777777" w:rsidR="006235D9" w:rsidRPr="001F2801" w:rsidRDefault="006235D9" w:rsidP="001F2801">
      <w:pPr>
        <w:spacing w:after="0"/>
        <w:ind w:firstLine="1134"/>
        <w:jc w:val="both"/>
        <w:rPr>
          <w:rFonts w:ascii="Times New Roman" w:hAnsi="Times New Roman" w:cs="Times New Roman"/>
          <w:color w:val="000000" w:themeColor="text1"/>
          <w:sz w:val="24"/>
          <w:szCs w:val="24"/>
        </w:rPr>
      </w:pPr>
      <w:r w:rsidRPr="001F2801">
        <w:rPr>
          <w:rFonts w:ascii="Times New Roman" w:hAnsi="Times New Roman" w:cs="Times New Roman"/>
          <w:color w:val="000000" w:themeColor="text1"/>
          <w:sz w:val="24"/>
          <w:szCs w:val="24"/>
        </w:rPr>
        <w:t xml:space="preserve">Assim, objetivando suprir uma lacuna na legislação estadual, quanto ao recolhimento do Imposto sobre Serviços de Qualquer Natureza – ISSQN que, sendo por natureza um tributo indireto instituído por legislação municipal da sede da serventia, poderá implicar na elevação da arrecadação dos municípios, contribuindo de forma direta para execução das políticas públicas municipais de investimentos sociais, considerando-se que os emolumentos notariais e de registro são fixados por lei, portanto, de fácil arrecadação, fiscalização e controle pela municipalidade. </w:t>
      </w:r>
    </w:p>
    <w:p w14:paraId="40CC1BD7" w14:textId="5227E960" w:rsidR="00FE1799" w:rsidRDefault="006235D9" w:rsidP="001F2801">
      <w:pPr>
        <w:spacing w:after="0"/>
        <w:ind w:firstLine="1134"/>
        <w:jc w:val="both"/>
        <w:rPr>
          <w:rFonts w:ascii="Times New Roman" w:hAnsi="Times New Roman" w:cs="Times New Roman"/>
          <w:color w:val="000000" w:themeColor="text1"/>
          <w:sz w:val="24"/>
          <w:szCs w:val="24"/>
        </w:rPr>
      </w:pPr>
      <w:r w:rsidRPr="001F2801">
        <w:rPr>
          <w:rFonts w:ascii="Times New Roman" w:hAnsi="Times New Roman" w:cs="Times New Roman"/>
          <w:color w:val="000000" w:themeColor="text1"/>
          <w:sz w:val="24"/>
          <w:szCs w:val="24"/>
        </w:rPr>
        <w:t xml:space="preserve">Por tais razões, a regulamentação estadual da forma de recolhimento do ISSQN deve ser instituída neste Estado, de forma que possam disponibilizar aos cidadãos mais um meio de acesso aos serviços públicos ofertados pelas Serventias Extrajudiciais do Maranhão, visando ao estabelecimento de um tratamento tributário legal, justo e transparente. </w:t>
      </w:r>
    </w:p>
    <w:p w14:paraId="5330E909" w14:textId="77777777" w:rsidR="001F2801" w:rsidRDefault="001F2801" w:rsidP="001F2801">
      <w:pPr>
        <w:spacing w:after="0"/>
        <w:jc w:val="both"/>
        <w:rPr>
          <w:rFonts w:ascii="Times New Roman" w:hAnsi="Times New Roman" w:cs="Times New Roman"/>
          <w:color w:val="000000" w:themeColor="text1"/>
          <w:sz w:val="24"/>
          <w:szCs w:val="24"/>
        </w:rPr>
      </w:pPr>
    </w:p>
    <w:p w14:paraId="102EA474" w14:textId="77777777" w:rsidR="001F2801" w:rsidRPr="001F2801" w:rsidRDefault="001F2801" w:rsidP="001F2801">
      <w:pPr>
        <w:pStyle w:val="Corpodetexto"/>
        <w:spacing w:before="5"/>
        <w:ind w:firstLine="567"/>
        <w:jc w:val="both"/>
        <w:rPr>
          <w:b/>
        </w:rPr>
      </w:pPr>
      <w:r w:rsidRPr="001F2801">
        <w:rPr>
          <w:b/>
        </w:rPr>
        <w:t>PLENÁRIO DEPUTADO “NAGIB HAICKEL” DO PALÁCIO “MANUEL BECKMAN”, EM 1</w:t>
      </w:r>
      <w:r>
        <w:rPr>
          <w:b/>
        </w:rPr>
        <w:t>7</w:t>
      </w:r>
      <w:r w:rsidRPr="001F2801">
        <w:rPr>
          <w:b/>
        </w:rPr>
        <w:t xml:space="preserve"> DE MARÇO DE 2025</w:t>
      </w:r>
    </w:p>
    <w:p w14:paraId="6867A7AB" w14:textId="77777777" w:rsidR="001F2801" w:rsidRPr="001F2801" w:rsidRDefault="001F2801" w:rsidP="001F2801">
      <w:pPr>
        <w:pStyle w:val="Corpodetexto"/>
        <w:spacing w:before="5"/>
        <w:ind w:firstLine="567"/>
        <w:jc w:val="both"/>
        <w:rPr>
          <w:b/>
        </w:rPr>
      </w:pPr>
    </w:p>
    <w:p w14:paraId="6B98276E" w14:textId="77777777" w:rsidR="001F2801" w:rsidRPr="001F2801" w:rsidRDefault="001F2801" w:rsidP="001F2801">
      <w:pPr>
        <w:jc w:val="both"/>
        <w:rPr>
          <w:rFonts w:ascii="Times New Roman" w:hAnsi="Times New Roman" w:cs="Times New Roman"/>
          <w:sz w:val="24"/>
          <w:szCs w:val="24"/>
        </w:rPr>
      </w:pPr>
    </w:p>
    <w:p w14:paraId="472D9EC5" w14:textId="77777777" w:rsidR="001F2801" w:rsidRPr="001F2801" w:rsidRDefault="001F2801" w:rsidP="001F2801">
      <w:pPr>
        <w:spacing w:after="0" w:line="240" w:lineRule="auto"/>
        <w:jc w:val="center"/>
        <w:rPr>
          <w:rFonts w:ascii="Times New Roman" w:hAnsi="Times New Roman" w:cs="Times New Roman"/>
          <w:b/>
          <w:sz w:val="24"/>
          <w:szCs w:val="24"/>
        </w:rPr>
      </w:pPr>
      <w:r w:rsidRPr="001F2801">
        <w:rPr>
          <w:rFonts w:ascii="Times New Roman" w:hAnsi="Times New Roman" w:cs="Times New Roman"/>
          <w:b/>
          <w:sz w:val="24"/>
          <w:szCs w:val="24"/>
        </w:rPr>
        <w:t>DALTON ARRUDA</w:t>
      </w:r>
    </w:p>
    <w:p w14:paraId="3C30D67D" w14:textId="77777777" w:rsidR="001F2801" w:rsidRPr="001F2801" w:rsidRDefault="001F2801" w:rsidP="001F2801">
      <w:pPr>
        <w:spacing w:after="0" w:line="240" w:lineRule="auto"/>
        <w:jc w:val="center"/>
        <w:rPr>
          <w:rFonts w:ascii="Times New Roman" w:hAnsi="Times New Roman" w:cs="Times New Roman"/>
          <w:b/>
          <w:sz w:val="24"/>
          <w:szCs w:val="24"/>
        </w:rPr>
      </w:pPr>
      <w:r w:rsidRPr="001F2801">
        <w:rPr>
          <w:rFonts w:ascii="Times New Roman" w:hAnsi="Times New Roman" w:cs="Times New Roman"/>
          <w:b/>
          <w:sz w:val="24"/>
          <w:szCs w:val="24"/>
        </w:rPr>
        <w:t>DEPUTADO ESTADUAL – PSD</w:t>
      </w:r>
    </w:p>
    <w:p w14:paraId="52F4B0C7" w14:textId="77777777" w:rsidR="001F2801" w:rsidRPr="001F2801" w:rsidRDefault="001F2801" w:rsidP="001F2801">
      <w:pPr>
        <w:spacing w:after="0"/>
        <w:jc w:val="both"/>
        <w:rPr>
          <w:rFonts w:ascii="Times New Roman" w:hAnsi="Times New Roman" w:cs="Times New Roman"/>
          <w:color w:val="000000" w:themeColor="text1"/>
        </w:rPr>
      </w:pPr>
    </w:p>
    <w:sectPr w:rsidR="001F2801" w:rsidRPr="001F2801">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704C3" w14:textId="77777777" w:rsidR="001F2801" w:rsidRDefault="001F2801" w:rsidP="001F2801">
      <w:pPr>
        <w:spacing w:after="0" w:line="240" w:lineRule="auto"/>
      </w:pPr>
      <w:r>
        <w:separator/>
      </w:r>
    </w:p>
  </w:endnote>
  <w:endnote w:type="continuationSeparator" w:id="0">
    <w:p w14:paraId="65D9D02B" w14:textId="77777777" w:rsidR="001F2801" w:rsidRDefault="001F2801" w:rsidP="001F2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DC0BD" w14:textId="77777777" w:rsidR="001F2801" w:rsidRDefault="001F2801" w:rsidP="001F2801">
      <w:pPr>
        <w:spacing w:after="0" w:line="240" w:lineRule="auto"/>
      </w:pPr>
      <w:r>
        <w:separator/>
      </w:r>
    </w:p>
  </w:footnote>
  <w:footnote w:type="continuationSeparator" w:id="0">
    <w:p w14:paraId="6D850507" w14:textId="77777777" w:rsidR="001F2801" w:rsidRDefault="001F2801" w:rsidP="001F28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5985C" w14:textId="77777777" w:rsidR="001F2801" w:rsidRPr="001F2801" w:rsidRDefault="001F2801" w:rsidP="001F2801">
    <w:pPr>
      <w:pStyle w:val="Cabealho"/>
      <w:tabs>
        <w:tab w:val="clear" w:pos="4252"/>
      </w:tabs>
      <w:ind w:right="360"/>
      <w:jc w:val="center"/>
      <w:rPr>
        <w:rFonts w:ascii="Times New Roman" w:hAnsi="Times New Roman" w:cs="Times New Roman"/>
        <w:b/>
        <w:color w:val="000080"/>
        <w:sz w:val="26"/>
        <w:szCs w:val="26"/>
      </w:rPr>
    </w:pPr>
    <w:r w:rsidRPr="001F2801">
      <w:rPr>
        <w:rFonts w:ascii="Times New Roman" w:hAnsi="Times New Roman" w:cs="Times New Roman"/>
        <w:noProof/>
        <w:sz w:val="26"/>
        <w:szCs w:val="26"/>
      </w:rPr>
      <w:drawing>
        <wp:inline distT="0" distB="0" distL="0" distR="0" wp14:anchorId="765C234A" wp14:editId="47C2D714">
          <wp:extent cx="952500" cy="822960"/>
          <wp:effectExtent l="0" t="0" r="0" b="0"/>
          <wp:docPr id="1172791550" name="Imagem 2"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7447" name="Imagem 2"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2960"/>
                  </a:xfrm>
                  <a:prstGeom prst="rect">
                    <a:avLst/>
                  </a:prstGeom>
                  <a:noFill/>
                  <a:ln>
                    <a:noFill/>
                  </a:ln>
                </pic:spPr>
              </pic:pic>
            </a:graphicData>
          </a:graphic>
        </wp:inline>
      </w:drawing>
    </w:r>
  </w:p>
  <w:p w14:paraId="3442B580" w14:textId="77777777" w:rsidR="001F2801" w:rsidRPr="001F2801" w:rsidRDefault="001F2801" w:rsidP="001F2801">
    <w:pPr>
      <w:pStyle w:val="Cabealho"/>
      <w:tabs>
        <w:tab w:val="clear" w:pos="4252"/>
      </w:tabs>
      <w:jc w:val="center"/>
      <w:rPr>
        <w:rFonts w:ascii="Times New Roman" w:hAnsi="Times New Roman" w:cs="Times New Roman"/>
        <w:b/>
        <w:sz w:val="26"/>
        <w:szCs w:val="26"/>
      </w:rPr>
    </w:pPr>
    <w:r w:rsidRPr="001F2801">
      <w:rPr>
        <w:rFonts w:ascii="Times New Roman" w:hAnsi="Times New Roman" w:cs="Times New Roman"/>
        <w:b/>
        <w:sz w:val="26"/>
        <w:szCs w:val="26"/>
      </w:rPr>
      <w:t>ASSEMBLEIA LEGISLATIVA DO ESTADO DO MARANHÃO</w:t>
    </w:r>
  </w:p>
  <w:p w14:paraId="7E39AC30" w14:textId="77777777" w:rsidR="001F2801" w:rsidRPr="001F2801" w:rsidRDefault="001F2801" w:rsidP="001F2801">
    <w:pPr>
      <w:pStyle w:val="Cabealho"/>
      <w:tabs>
        <w:tab w:val="clear" w:pos="4252"/>
      </w:tabs>
      <w:jc w:val="center"/>
      <w:rPr>
        <w:rFonts w:ascii="Times New Roman" w:hAnsi="Times New Roman" w:cs="Times New Roman"/>
        <w:b/>
        <w:sz w:val="26"/>
        <w:szCs w:val="26"/>
      </w:rPr>
    </w:pPr>
    <w:r w:rsidRPr="001F2801">
      <w:rPr>
        <w:rFonts w:ascii="Times New Roman" w:hAnsi="Times New Roman" w:cs="Times New Roman"/>
        <w:b/>
        <w:sz w:val="26"/>
        <w:szCs w:val="26"/>
      </w:rPr>
      <w:t xml:space="preserve">Gabinete do Deputado Dalton Arruda </w:t>
    </w:r>
  </w:p>
  <w:p w14:paraId="058FB297" w14:textId="77777777" w:rsidR="001F2801" w:rsidRPr="001F2801" w:rsidRDefault="001F2801" w:rsidP="001F2801">
    <w:pPr>
      <w:pStyle w:val="Cabealho"/>
      <w:tabs>
        <w:tab w:val="clear" w:pos="4252"/>
      </w:tabs>
      <w:jc w:val="center"/>
      <w:rPr>
        <w:rFonts w:ascii="Times New Roman" w:hAnsi="Times New Roman" w:cs="Times New Roman"/>
        <w:sz w:val="26"/>
        <w:szCs w:val="26"/>
      </w:rPr>
    </w:pPr>
    <w:r w:rsidRPr="001F2801">
      <w:rPr>
        <w:rFonts w:ascii="Times New Roman" w:hAnsi="Times New Roman" w:cs="Times New Roman"/>
        <w:sz w:val="26"/>
        <w:szCs w:val="26"/>
      </w:rPr>
      <w:t xml:space="preserve">Avenida Jerônimo de Albuquerque, s/n, Sítio do Rangedor – </w:t>
    </w:r>
    <w:proofErr w:type="spellStart"/>
    <w:r w:rsidRPr="001F2801">
      <w:rPr>
        <w:rFonts w:ascii="Times New Roman" w:hAnsi="Times New Roman" w:cs="Times New Roman"/>
        <w:sz w:val="26"/>
        <w:szCs w:val="26"/>
      </w:rPr>
      <w:t>Cohafuma</w:t>
    </w:r>
    <w:proofErr w:type="spellEnd"/>
  </w:p>
  <w:p w14:paraId="74C2F5C9" w14:textId="77777777" w:rsidR="001F2801" w:rsidRPr="001F2801" w:rsidRDefault="001F2801" w:rsidP="001F2801">
    <w:pPr>
      <w:pStyle w:val="Cabealho"/>
      <w:tabs>
        <w:tab w:val="clear" w:pos="4252"/>
      </w:tabs>
      <w:jc w:val="center"/>
      <w:rPr>
        <w:rFonts w:ascii="Times New Roman" w:hAnsi="Times New Roman" w:cs="Times New Roman"/>
        <w:sz w:val="26"/>
        <w:szCs w:val="26"/>
      </w:rPr>
    </w:pPr>
    <w:r w:rsidRPr="001F2801">
      <w:rPr>
        <w:rFonts w:ascii="Times New Roman" w:hAnsi="Times New Roman" w:cs="Times New Roman"/>
        <w:sz w:val="26"/>
        <w:szCs w:val="26"/>
      </w:rPr>
      <w:t xml:space="preserve">São Luís - MA – 65.071-750 </w:t>
    </w:r>
  </w:p>
  <w:p w14:paraId="1688067E" w14:textId="77777777" w:rsidR="001F2801" w:rsidRDefault="001F280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5D9"/>
    <w:rsid w:val="000764B9"/>
    <w:rsid w:val="00161B6C"/>
    <w:rsid w:val="00185293"/>
    <w:rsid w:val="001F2801"/>
    <w:rsid w:val="002C3B97"/>
    <w:rsid w:val="00391A2E"/>
    <w:rsid w:val="003B527D"/>
    <w:rsid w:val="003F0AA4"/>
    <w:rsid w:val="00416CEF"/>
    <w:rsid w:val="00495ADE"/>
    <w:rsid w:val="004C2C12"/>
    <w:rsid w:val="004D1C33"/>
    <w:rsid w:val="00506FDC"/>
    <w:rsid w:val="005361CC"/>
    <w:rsid w:val="00566009"/>
    <w:rsid w:val="005B4AEA"/>
    <w:rsid w:val="005B5072"/>
    <w:rsid w:val="00605EF8"/>
    <w:rsid w:val="00610FED"/>
    <w:rsid w:val="00614237"/>
    <w:rsid w:val="006235D9"/>
    <w:rsid w:val="00634218"/>
    <w:rsid w:val="00643D2B"/>
    <w:rsid w:val="0065262A"/>
    <w:rsid w:val="00653FD3"/>
    <w:rsid w:val="00681484"/>
    <w:rsid w:val="006A6DC6"/>
    <w:rsid w:val="006B5619"/>
    <w:rsid w:val="00775D38"/>
    <w:rsid w:val="00817EA3"/>
    <w:rsid w:val="00855D6D"/>
    <w:rsid w:val="00930538"/>
    <w:rsid w:val="009A75BC"/>
    <w:rsid w:val="00A06915"/>
    <w:rsid w:val="00A278B5"/>
    <w:rsid w:val="00A63894"/>
    <w:rsid w:val="00AD4305"/>
    <w:rsid w:val="00B51B03"/>
    <w:rsid w:val="00B56624"/>
    <w:rsid w:val="00B725F7"/>
    <w:rsid w:val="00B74FEE"/>
    <w:rsid w:val="00BB5C14"/>
    <w:rsid w:val="00BE49C5"/>
    <w:rsid w:val="00C538C5"/>
    <w:rsid w:val="00C9388E"/>
    <w:rsid w:val="00CF0016"/>
    <w:rsid w:val="00CF490D"/>
    <w:rsid w:val="00D53AEB"/>
    <w:rsid w:val="00D728FB"/>
    <w:rsid w:val="00DB7862"/>
    <w:rsid w:val="00DE6757"/>
    <w:rsid w:val="00E16B68"/>
    <w:rsid w:val="00EF0FDA"/>
    <w:rsid w:val="00F51D25"/>
    <w:rsid w:val="00F8436E"/>
    <w:rsid w:val="00FD7325"/>
    <w:rsid w:val="00FE1799"/>
    <w:rsid w:val="00FE546C"/>
    <w:rsid w:val="00FE64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48252"/>
  <w15:chartTrackingRefBased/>
  <w15:docId w15:val="{2340CDCC-F9C3-4DD1-89E5-A72941C5E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88E"/>
    <w:pPr>
      <w:spacing w:after="200" w:line="276" w:lineRule="auto"/>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6235D9"/>
    <w:pPr>
      <w:autoSpaceDE w:val="0"/>
      <w:autoSpaceDN w:val="0"/>
      <w:adjustRightInd w:val="0"/>
      <w:spacing w:after="0" w:line="240" w:lineRule="auto"/>
    </w:pPr>
    <w:rPr>
      <w:rFonts w:ascii="Arial" w:hAnsi="Arial" w:cs="Arial"/>
      <w:color w:val="000000"/>
      <w:sz w:val="24"/>
      <w:szCs w:val="24"/>
    </w:rPr>
  </w:style>
  <w:style w:type="paragraph" w:styleId="Corpodetexto">
    <w:name w:val="Body Text"/>
    <w:basedOn w:val="Normal"/>
    <w:link w:val="CorpodetextoChar"/>
    <w:uiPriority w:val="1"/>
    <w:qFormat/>
    <w:rsid w:val="001F2801"/>
    <w:pPr>
      <w:widowControl w:val="0"/>
      <w:autoSpaceDE w:val="0"/>
      <w:autoSpaceDN w:val="0"/>
      <w:spacing w:after="0" w:line="240" w:lineRule="auto"/>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1F2801"/>
    <w:rPr>
      <w:rFonts w:ascii="Times New Roman" w:eastAsia="Times New Roman" w:hAnsi="Times New Roman" w:cs="Times New Roman"/>
      <w:sz w:val="24"/>
      <w:szCs w:val="24"/>
      <w:lang w:val="pt-PT"/>
    </w:rPr>
  </w:style>
  <w:style w:type="paragraph" w:styleId="Cabealho">
    <w:name w:val="header"/>
    <w:aliases w:val="Char"/>
    <w:basedOn w:val="Normal"/>
    <w:link w:val="CabealhoChar"/>
    <w:unhideWhenUsed/>
    <w:rsid w:val="001F2801"/>
    <w:pPr>
      <w:tabs>
        <w:tab w:val="center" w:pos="4252"/>
        <w:tab w:val="right" w:pos="8504"/>
      </w:tabs>
      <w:spacing w:after="0" w:line="240" w:lineRule="auto"/>
    </w:pPr>
  </w:style>
  <w:style w:type="character" w:customStyle="1" w:styleId="CabealhoChar">
    <w:name w:val="Cabeçalho Char"/>
    <w:aliases w:val="Char Char"/>
    <w:basedOn w:val="Fontepargpadro"/>
    <w:link w:val="Cabealho"/>
    <w:rsid w:val="001F2801"/>
    <w:rPr>
      <w:rFonts w:eastAsiaTheme="minorEastAsia"/>
      <w:lang w:eastAsia="pt-BR"/>
    </w:rPr>
  </w:style>
  <w:style w:type="paragraph" w:styleId="Rodap">
    <w:name w:val="footer"/>
    <w:basedOn w:val="Normal"/>
    <w:link w:val="RodapChar"/>
    <w:uiPriority w:val="99"/>
    <w:unhideWhenUsed/>
    <w:rsid w:val="001F2801"/>
    <w:pPr>
      <w:tabs>
        <w:tab w:val="center" w:pos="4252"/>
        <w:tab w:val="right" w:pos="8504"/>
      </w:tabs>
      <w:spacing w:after="0" w:line="240" w:lineRule="auto"/>
    </w:pPr>
  </w:style>
  <w:style w:type="character" w:customStyle="1" w:styleId="RodapChar">
    <w:name w:val="Rodapé Char"/>
    <w:basedOn w:val="Fontepargpadro"/>
    <w:link w:val="Rodap"/>
    <w:uiPriority w:val="99"/>
    <w:rsid w:val="001F2801"/>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977</Words>
  <Characters>5279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Ilkerson Maxwell Franco Santos</dc:creator>
  <cp:keywords/>
  <dc:description/>
  <cp:lastModifiedBy>Marcelo Lima</cp:lastModifiedBy>
  <cp:revision>2</cp:revision>
  <cp:lastPrinted>2025-03-17T20:41:00Z</cp:lastPrinted>
  <dcterms:created xsi:type="dcterms:W3CDTF">2025-03-17T20:45:00Z</dcterms:created>
  <dcterms:modified xsi:type="dcterms:W3CDTF">2025-03-17T20:45:00Z</dcterms:modified>
</cp:coreProperties>
</file>