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6E68B" w14:textId="77777777" w:rsidR="009D37A5" w:rsidRPr="00C2485C" w:rsidRDefault="009D37A5" w:rsidP="00A7581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lang w:val="pt-BR" w:eastAsia="pt-BR"/>
        </w:rPr>
      </w:pPr>
    </w:p>
    <w:p w14:paraId="5C3478FF" w14:textId="50646E43" w:rsidR="00A7581F" w:rsidRPr="00D473BE" w:rsidRDefault="00A7581F" w:rsidP="00A7581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D473BE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PROJETO DE LEI Nº ___/2025</w:t>
      </w:r>
    </w:p>
    <w:p w14:paraId="6412C925" w14:textId="3027330C" w:rsidR="00A7581F" w:rsidRPr="00D473BE" w:rsidRDefault="00A7581F" w:rsidP="00A7581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5BDB9146" w14:textId="77777777" w:rsidR="00D473BE" w:rsidRPr="00D473BE" w:rsidRDefault="00D473BE" w:rsidP="00D473BE">
      <w:pPr>
        <w:ind w:left="2977"/>
        <w:jc w:val="both"/>
        <w:rPr>
          <w:rFonts w:ascii="Arial" w:hAnsi="Arial" w:cs="Arial"/>
          <w:b/>
          <w:bCs/>
          <w:sz w:val="24"/>
          <w:szCs w:val="24"/>
        </w:rPr>
      </w:pPr>
      <w:r w:rsidRPr="00D473BE">
        <w:rPr>
          <w:rFonts w:ascii="Arial" w:hAnsi="Arial" w:cs="Arial"/>
          <w:b/>
          <w:bCs/>
          <w:sz w:val="24"/>
          <w:szCs w:val="24"/>
        </w:rPr>
        <w:t>Fomenta a Mecanização da Agricultura Familiar de com o fito de ampliar o acesso de pequenos produtores rurais a máquinas e implementos agrícolas, e dá outras providências.</w:t>
      </w:r>
    </w:p>
    <w:p w14:paraId="11611176" w14:textId="77777777" w:rsidR="00D473BE" w:rsidRPr="00D473BE" w:rsidRDefault="00D473BE" w:rsidP="00D473BE">
      <w:pPr>
        <w:spacing w:before="240"/>
        <w:jc w:val="both"/>
        <w:rPr>
          <w:rFonts w:ascii="Arial" w:hAnsi="Arial" w:cs="Arial"/>
          <w:sz w:val="24"/>
          <w:szCs w:val="24"/>
        </w:rPr>
      </w:pPr>
    </w:p>
    <w:p w14:paraId="53E785FA" w14:textId="65B7EE5B" w:rsid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D473BE">
        <w:rPr>
          <w:rFonts w:ascii="Arial" w:hAnsi="Arial" w:cs="Arial"/>
          <w:sz w:val="24"/>
          <w:szCs w:val="24"/>
        </w:rPr>
        <w:t>Fica instituído, no âmbito da Administração Pública Estadual, lei de fomento à Mecanização da Agricultura Familiar com o objetivo de ampliar o acesso de pequenos produtores rurais e agricultores familiares a máquinas, tratores, colheitadeiras e implementos agrícolas, mediante condições diferenciadas de aquisição ou financiamento.</w:t>
      </w:r>
    </w:p>
    <w:p w14:paraId="5C3FF8BE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40BA4CE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b/>
          <w:bCs/>
          <w:sz w:val="24"/>
          <w:szCs w:val="24"/>
        </w:rPr>
        <w:t>Art. 2º</w:t>
      </w:r>
      <w:r w:rsidRPr="00D473BE">
        <w:rPr>
          <w:rFonts w:ascii="Arial" w:hAnsi="Arial" w:cs="Arial"/>
          <w:sz w:val="24"/>
          <w:szCs w:val="24"/>
        </w:rPr>
        <w:t xml:space="preserve"> A presente lei tem como finalidade:</w:t>
      </w:r>
    </w:p>
    <w:p w14:paraId="7DBE5CA2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 – fomentar o aumento da produtividade, eficiência e sustentabilidade da agricultura familiar maranhense;</w:t>
      </w:r>
    </w:p>
    <w:p w14:paraId="0AF49EFA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II – reduzir o custo de mecanização e promover a modernização do pequeno produtor;</w:t>
      </w:r>
    </w:p>
    <w:p w14:paraId="6583947D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III – estimular o uso racional de recursos naturais e o desenvolvimento de tecnologias agrícolas apropriadas;</w:t>
      </w:r>
    </w:p>
    <w:p w14:paraId="03E47E0B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IV – fortalecer a economia local, o cooperativismo e o associativismo rural.</w:t>
      </w:r>
    </w:p>
    <w:p w14:paraId="4B6C54EE" w14:textId="77777777" w:rsid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FC41E6C" w14:textId="1D366924" w:rsidR="00D473BE" w:rsidRP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73BE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D473BE">
        <w:rPr>
          <w:rFonts w:ascii="Arial" w:hAnsi="Arial" w:cs="Arial"/>
          <w:sz w:val="24"/>
          <w:szCs w:val="24"/>
        </w:rPr>
        <w:t>Poderão ser beneficiários os agricultores familiares, produtores rurais e cooperativas de produção devidamente cadastrados no Cadastro Nacional da Agricultura Familiar (CAF) ou que atendam aos critérios da Lei Federal nº 11.326, de 24 de julho de 2006.</w:t>
      </w:r>
    </w:p>
    <w:p w14:paraId="1005C542" w14:textId="77777777" w:rsid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1CFF870" w14:textId="160319E9" w:rsidR="00D473BE" w:rsidRP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73BE">
        <w:rPr>
          <w:rFonts w:ascii="Arial" w:hAnsi="Arial" w:cs="Arial"/>
          <w:b/>
          <w:bCs/>
          <w:sz w:val="24"/>
          <w:szCs w:val="24"/>
        </w:rPr>
        <w:t xml:space="preserve">Art. 4º </w:t>
      </w:r>
      <w:r w:rsidRPr="00D473BE">
        <w:rPr>
          <w:rFonts w:ascii="Arial" w:hAnsi="Arial" w:cs="Arial"/>
          <w:sz w:val="24"/>
          <w:szCs w:val="24"/>
        </w:rPr>
        <w:t>Para a execução da presente lei, o Poder Executivo poderá:</w:t>
      </w:r>
    </w:p>
    <w:p w14:paraId="327ACD69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 xml:space="preserve">I – celebrar convênios, contratos, termos de cooperação ou parcerias com instituições financeiras, cooperativas de crédito, fabricantes e distribuidores de máquinas e </w:t>
      </w:r>
      <w:r w:rsidRPr="00D473BE">
        <w:rPr>
          <w:rFonts w:ascii="Arial" w:hAnsi="Arial" w:cs="Arial"/>
          <w:sz w:val="24"/>
          <w:szCs w:val="24"/>
        </w:rPr>
        <w:lastRenderedPageBreak/>
        <w:t>implementos agrícolas, bem como entidades de fomento e pesquisa;</w:t>
      </w:r>
    </w:p>
    <w:p w14:paraId="2C26FE20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II – promover o credenciamento público de fornecedores, observados os princípios da impessoalidade, publicidade e livre concorrência;</w:t>
      </w:r>
    </w:p>
    <w:p w14:paraId="6EEFE851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III – estabelecer condições especiais de pagamento, prazos, taxas de juros reduzidas ou equivalência em produtos agrícolas, de forma a facilitar o acesso dos beneficiários às máquinas e equipamentos;</w:t>
      </w:r>
    </w:p>
    <w:p w14:paraId="04B04B57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IV – conceder subvenções econômicas ou financeiras destinadas a reduzir o custo final dos equipamentos, nos termos da legislação orçamentária e financeira vigente;</w:t>
      </w:r>
    </w:p>
    <w:p w14:paraId="7A46E8E5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V – priorizar ações de capacitação técnica e assistência rural para o uso e manutenção dos equipamentos adquiridos.</w:t>
      </w:r>
    </w:p>
    <w:p w14:paraId="1D3D2CC2" w14:textId="77777777" w:rsid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D61A469" w14:textId="486D1EA3" w:rsidR="00D473BE" w:rsidRP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73BE">
        <w:rPr>
          <w:rFonts w:ascii="Arial" w:hAnsi="Arial" w:cs="Arial"/>
          <w:b/>
          <w:bCs/>
          <w:sz w:val="24"/>
          <w:szCs w:val="24"/>
        </w:rPr>
        <w:t xml:space="preserve">Art. 5º </w:t>
      </w:r>
      <w:r w:rsidRPr="00D473BE">
        <w:rPr>
          <w:rFonts w:ascii="Arial" w:hAnsi="Arial" w:cs="Arial"/>
          <w:sz w:val="24"/>
          <w:szCs w:val="24"/>
        </w:rPr>
        <w:t>A execução desta lei observará as disponibilidades financeiras e orçamentárias do Estado e poderá contar com recursos provenientes de:</w:t>
      </w:r>
    </w:p>
    <w:p w14:paraId="75ED1680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 – dotações orçamentárias próprias do Estado;</w:t>
      </w:r>
    </w:p>
    <w:p w14:paraId="23851BD8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II – convênios ou transferências voluntárias da União e de entidades federais;</w:t>
      </w:r>
    </w:p>
    <w:p w14:paraId="448A0450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III – parcerias com bancos públicos e privados, cooperativas de crédito e instituições de fomento;</w:t>
      </w:r>
    </w:p>
    <w:p w14:paraId="7DD4388A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IV – doações, emendas parlamentares ou outras fontes legalmente instituídas.</w:t>
      </w:r>
    </w:p>
    <w:p w14:paraId="1F789B4E" w14:textId="77777777" w:rsid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18A1146" w14:textId="4EEAC446" w:rsidR="00D473BE" w:rsidRP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73BE">
        <w:rPr>
          <w:rFonts w:ascii="Arial" w:hAnsi="Arial" w:cs="Arial"/>
          <w:b/>
          <w:bCs/>
          <w:sz w:val="24"/>
          <w:szCs w:val="24"/>
        </w:rPr>
        <w:t xml:space="preserve">Art. 6º </w:t>
      </w:r>
      <w:r w:rsidRPr="00D473BE">
        <w:rPr>
          <w:rFonts w:ascii="Arial" w:hAnsi="Arial" w:cs="Arial"/>
          <w:sz w:val="24"/>
          <w:szCs w:val="24"/>
        </w:rPr>
        <w:t>O Poder Executivo poderá regulamentar esta Lei no que couber, estabelecendo:</w:t>
      </w:r>
    </w:p>
    <w:p w14:paraId="38C5901C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 – os critérios técnicos e socioeconômicos para seleção dos beneficiários;</w:t>
      </w:r>
    </w:p>
    <w:p w14:paraId="0E36484F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II – as condições de pagamento, carência, garantias e limites de participação;</w:t>
      </w:r>
    </w:p>
    <w:p w14:paraId="5380B2C6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III – o percentual de subvenção econômica ou bonificação aplicável;</w:t>
      </w:r>
    </w:p>
    <w:p w14:paraId="0B5738FD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IV – as normas de credenciamento dos fabricantes, revendas e cooperativas participantes;</w:t>
      </w:r>
    </w:p>
    <w:p w14:paraId="2C31FA55" w14:textId="77777777" w:rsidR="00D473BE" w:rsidRPr="00D473BE" w:rsidRDefault="00D473BE" w:rsidP="00D473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3BE">
        <w:rPr>
          <w:rFonts w:ascii="Arial" w:hAnsi="Arial" w:cs="Arial"/>
          <w:sz w:val="24"/>
          <w:szCs w:val="24"/>
        </w:rPr>
        <w:t>V – as regras de acompanhamento, monitoramento e avaliação do Programa.</w:t>
      </w:r>
    </w:p>
    <w:p w14:paraId="7AA35BA6" w14:textId="77777777" w:rsid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45D601B" w14:textId="70EACC0F" w:rsidR="00D473BE" w:rsidRP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73BE">
        <w:rPr>
          <w:rFonts w:ascii="Arial" w:hAnsi="Arial" w:cs="Arial"/>
          <w:b/>
          <w:bCs/>
          <w:sz w:val="24"/>
          <w:szCs w:val="24"/>
        </w:rPr>
        <w:t xml:space="preserve">Art. 7º </w:t>
      </w:r>
      <w:r w:rsidRPr="00D473BE">
        <w:rPr>
          <w:rFonts w:ascii="Arial" w:hAnsi="Arial" w:cs="Arial"/>
          <w:sz w:val="24"/>
          <w:szCs w:val="24"/>
        </w:rPr>
        <w:t xml:space="preserve">A coordenação geral e o monitoramento do Programa caberão ao órgão </w:t>
      </w:r>
      <w:r w:rsidRPr="00D473BE">
        <w:rPr>
          <w:rFonts w:ascii="Arial" w:hAnsi="Arial" w:cs="Arial"/>
          <w:sz w:val="24"/>
          <w:szCs w:val="24"/>
        </w:rPr>
        <w:lastRenderedPageBreak/>
        <w:t>estadual responsável pela política de agricultura familiar, sem prejuízo da atuação colaborativa de outras entidades públicas e privadas, conforme dispuser o regulamento.</w:t>
      </w:r>
    </w:p>
    <w:p w14:paraId="5F5DADF0" w14:textId="77777777" w:rsid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D3C9B63" w14:textId="67FFE76A" w:rsidR="00D473BE" w:rsidRPr="00D473BE" w:rsidRDefault="00D473BE" w:rsidP="00D473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73BE">
        <w:rPr>
          <w:rFonts w:ascii="Arial" w:hAnsi="Arial" w:cs="Arial"/>
          <w:b/>
          <w:bCs/>
          <w:sz w:val="24"/>
          <w:szCs w:val="24"/>
        </w:rPr>
        <w:t xml:space="preserve">Art. 8º </w:t>
      </w:r>
      <w:r w:rsidRPr="00D473BE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08DCBF28" w14:textId="497DB906" w:rsidR="00A7581F" w:rsidRPr="00D473BE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772FFA1C" w14:textId="77777777" w:rsidR="009D37A5" w:rsidRPr="00D473BE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179E12B0" w14:textId="27093223" w:rsidR="00A7581F" w:rsidRPr="00D473BE" w:rsidRDefault="00A7581F" w:rsidP="00D6707C">
      <w:pPr>
        <w:pStyle w:val="s18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D473BE">
        <w:rPr>
          <w:rStyle w:val="s7"/>
          <w:rFonts w:ascii="Arial" w:hAnsi="Arial" w:cs="Arial"/>
        </w:rPr>
        <w:t>Assembleia</w:t>
      </w:r>
      <w:r w:rsidRPr="00D473BE">
        <w:rPr>
          <w:rStyle w:val="apple-converted-space"/>
          <w:rFonts w:ascii="Arial" w:hAnsi="Arial" w:cs="Arial"/>
        </w:rPr>
        <w:t xml:space="preserve"> </w:t>
      </w:r>
      <w:r w:rsidRPr="00D473BE">
        <w:rPr>
          <w:rStyle w:val="s7"/>
          <w:rFonts w:ascii="Arial" w:hAnsi="Arial" w:cs="Arial"/>
        </w:rPr>
        <w:t>Legislativa do Estado do Maranhão, em</w:t>
      </w:r>
      <w:r w:rsidRPr="00D473BE">
        <w:rPr>
          <w:rStyle w:val="apple-converted-space"/>
          <w:rFonts w:ascii="Arial" w:hAnsi="Arial" w:cs="Arial"/>
        </w:rPr>
        <w:t xml:space="preserve"> </w:t>
      </w:r>
      <w:r w:rsidR="00897EFE">
        <w:rPr>
          <w:rStyle w:val="s7"/>
          <w:rFonts w:ascii="Arial" w:hAnsi="Arial" w:cs="Arial"/>
        </w:rPr>
        <w:t>10 de novembro</w:t>
      </w:r>
      <w:r w:rsidRPr="00D473BE">
        <w:rPr>
          <w:rStyle w:val="s7"/>
          <w:rFonts w:ascii="Arial" w:hAnsi="Arial" w:cs="Arial"/>
        </w:rPr>
        <w:t xml:space="preserve"> de 2025</w:t>
      </w:r>
    </w:p>
    <w:p w14:paraId="263FA369" w14:textId="4AEE3C75" w:rsidR="00A7581F" w:rsidRPr="00D473BE" w:rsidRDefault="00A7581F" w:rsidP="00D6707C">
      <w:pPr>
        <w:pStyle w:val="s11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</w:rPr>
      </w:pPr>
    </w:p>
    <w:p w14:paraId="309231DE" w14:textId="77777777" w:rsidR="00A7581F" w:rsidRPr="00D473BE" w:rsidRDefault="00A7581F" w:rsidP="00D6707C">
      <w:pPr>
        <w:pStyle w:val="s11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</w:rPr>
      </w:pPr>
    </w:p>
    <w:p w14:paraId="726CB2D5" w14:textId="77777777" w:rsidR="00A7581F" w:rsidRPr="00D473BE" w:rsidRDefault="00A7581F" w:rsidP="00D6707C">
      <w:pPr>
        <w:pStyle w:val="s11"/>
        <w:spacing w:before="0" w:beforeAutospacing="0" w:after="0" w:afterAutospacing="0" w:line="360" w:lineRule="auto"/>
        <w:jc w:val="center"/>
        <w:rPr>
          <w:rStyle w:val="s5"/>
          <w:rFonts w:ascii="Arial" w:hAnsi="Arial" w:cs="Arial"/>
          <w:b/>
          <w:bCs/>
        </w:rPr>
      </w:pPr>
      <w:proofErr w:type="spellStart"/>
      <w:r w:rsidRPr="00D473BE">
        <w:rPr>
          <w:rStyle w:val="s5"/>
          <w:rFonts w:ascii="Arial" w:hAnsi="Arial" w:cs="Arial"/>
          <w:b/>
          <w:bCs/>
        </w:rPr>
        <w:t>Catulé</w:t>
      </w:r>
      <w:proofErr w:type="spellEnd"/>
      <w:r w:rsidRPr="00D473BE">
        <w:rPr>
          <w:rStyle w:val="s5"/>
          <w:rFonts w:ascii="Arial" w:hAnsi="Arial" w:cs="Arial"/>
          <w:b/>
          <w:bCs/>
        </w:rPr>
        <w:t xml:space="preserve"> Júnior</w:t>
      </w:r>
    </w:p>
    <w:p w14:paraId="4F157E5A" w14:textId="77777777" w:rsidR="00A7581F" w:rsidRPr="00D473BE" w:rsidRDefault="00A7581F" w:rsidP="00D6707C">
      <w:pPr>
        <w:pStyle w:val="s11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</w:rPr>
      </w:pPr>
      <w:r w:rsidRPr="00D473BE">
        <w:rPr>
          <w:rStyle w:val="s7"/>
          <w:rFonts w:ascii="Arial" w:hAnsi="Arial" w:cs="Arial"/>
        </w:rPr>
        <w:t>Deputado Estadual</w:t>
      </w:r>
    </w:p>
    <w:p w14:paraId="069D2EF8" w14:textId="28CF4937" w:rsidR="00A7581F" w:rsidRPr="00D473BE" w:rsidRDefault="00A7581F" w:rsidP="00A7581F">
      <w:pPr>
        <w:pStyle w:val="s18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71FA5A0" w14:textId="77777777" w:rsidR="00A7581F" w:rsidRPr="00D473BE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7421DA8A" w14:textId="130591CD" w:rsidR="00A7581F" w:rsidRPr="00D473BE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57B72BFB" w14:textId="291F1E9B" w:rsidR="009D37A5" w:rsidRPr="00D473BE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29E5D702" w14:textId="71763221" w:rsidR="009D37A5" w:rsidRPr="00D473BE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5E6E03FD" w14:textId="3D9BDF3F" w:rsidR="009D37A5" w:rsidRPr="00D473BE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1FD041AA" w14:textId="1373DF11" w:rsidR="009D37A5" w:rsidRPr="00D473BE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3DCA9722" w14:textId="77777777" w:rsidR="00A7581F" w:rsidRPr="00D473BE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518469B0" w14:textId="77777777" w:rsidR="00C2485C" w:rsidRPr="00D473BE" w:rsidRDefault="00C2485C" w:rsidP="00E94856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5B850D21" w14:textId="77777777" w:rsidR="00D473BE" w:rsidRDefault="00D473BE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6108C5D4" w14:textId="77777777" w:rsidR="00D473BE" w:rsidRDefault="00D473BE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404FBD88" w14:textId="77777777" w:rsidR="00D473BE" w:rsidRDefault="00D473BE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4204199B" w14:textId="77777777" w:rsidR="00D473BE" w:rsidRDefault="00D473BE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556501E1" w14:textId="77777777" w:rsidR="00D473BE" w:rsidRDefault="00D473BE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448CB3AF" w14:textId="77777777" w:rsidR="00D473BE" w:rsidRDefault="00D473BE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0478496B" w14:textId="77777777" w:rsidR="00D473BE" w:rsidRDefault="00D473BE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7DE8BA99" w14:textId="77777777" w:rsidR="00D473BE" w:rsidRDefault="00D473BE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1F3F14AD" w14:textId="77777777" w:rsidR="000645DC" w:rsidRDefault="000645DC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lang w:val="pt-BR" w:eastAsia="pt-BR"/>
        </w:rPr>
      </w:pPr>
    </w:p>
    <w:p w14:paraId="4C644460" w14:textId="47AEFD7A" w:rsidR="00A7581F" w:rsidRPr="00D05756" w:rsidRDefault="00A7581F" w:rsidP="00A56B64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lang w:val="pt-BR" w:eastAsia="pt-BR"/>
        </w:rPr>
      </w:pPr>
      <w:r w:rsidRPr="00D05756">
        <w:rPr>
          <w:rFonts w:ascii="Arial" w:eastAsiaTheme="minorEastAsia" w:hAnsi="Arial" w:cs="Arial"/>
          <w:b/>
          <w:bCs/>
          <w:lang w:val="pt-BR" w:eastAsia="pt-BR"/>
        </w:rPr>
        <w:t>JUSTIFICATIVA</w:t>
      </w:r>
    </w:p>
    <w:p w14:paraId="1E3A4E41" w14:textId="644B7D03" w:rsidR="00C710E2" w:rsidRPr="00D05756" w:rsidRDefault="00C710E2" w:rsidP="00D473BE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1E8ADA4A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A agricultura familiar constitui o eixo central da economia rural do Maranhão, sendo responsável por significativa parcela da produção de alimentos e da geração de renda no campo. No entanto, a falta de acesso a maquinário e tecnologia limita a produtividade e o crescimento sustentável desses produtores.</w:t>
      </w:r>
    </w:p>
    <w:p w14:paraId="4FE50786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A presente proposição visa instituir, em âmbito estadual, um programa de fomento à mecanização agrícola inspirado em experiências bem-sucedidas como o Trator Solidário do Estado do Paraná, que já beneficiou milhares de pequenos agricultores por meio de parcerias entre o governo estadual, instituições financeiras e fabricantes de máquinas.</w:t>
      </w:r>
    </w:p>
    <w:p w14:paraId="205E73D4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A proposta é educativa, inclusiva e de fomento econômico, buscando democratizar o acesso a tratores e implementos agrícolas em condições facilitadas, sem impor obrigações diretas ou despesas automáticas ao Tesouro Estadual. O projeto respeita os princípios da legalidade, eficiência, moralidade, publicidade e economicidade, e se insere na competência estadual para legislar sobre agricultura e desenvolvimento econômico (art. 24, II, da Constituição Federal).</w:t>
      </w:r>
    </w:p>
    <w:p w14:paraId="628E3ED1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Trata-se, assim, de uma iniciativa constitucionalmente legítima e socialmente necessária, que contribui para o fortalecimento da agricultura familiar, a redução das desigualdades regionais e a dinamização da economia rural maranhense.</w:t>
      </w:r>
    </w:p>
    <w:p w14:paraId="060CB79D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Do ponto de vista jurídico e constitucional, a proposição não invade a esfera de atuação do Poder Executivo nem interfere em sua organização administrativa, visto que o  texto legal se limita a instituir diretriz de política pública de fomento à mecanização agrícola, facultando ao Poder Executivo a implementação, regulamentação e coordenação do programa, conforme suas disponibilidades orçamentárias e administrativas.</w:t>
      </w:r>
    </w:p>
    <w:p w14:paraId="03BA173D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Trata-se, portanto, de norma autorizativa e programática, que indica uma finalidade pública legítima — o fortalecimento da agricultura familiar — sem criar obrigações diretas de execução, cargos, funções ou aumento de despesa obrigatória.</w:t>
      </w:r>
    </w:p>
    <w:p w14:paraId="151A443F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Dessa forma, respeita-se integralmente o princípio da separação dos poderes, previsto no art. 2º da Constituição Federal, bem como a autonomia administrativa do Executivo estadual.</w:t>
      </w:r>
    </w:p>
    <w:p w14:paraId="2BB8EA7F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 xml:space="preserve">Ademais, o projeto foi redigido com observância à Lei de Responsabilidade Fiscal (Lei </w:t>
      </w:r>
      <w:r w:rsidRPr="00D05756">
        <w:rPr>
          <w:rFonts w:ascii="Arial" w:hAnsi="Arial" w:cs="Arial"/>
        </w:rPr>
        <w:lastRenderedPageBreak/>
        <w:t>Complementar nº 101/2000), ao prever que todas as ações decorrentes de sua execução dependerão de previsão orçamentária e disponibilidade financeira, não gerando despesa imediata ou obrigatória.</w:t>
      </w:r>
    </w:p>
    <w:p w14:paraId="7008DA28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O projeto em questão dá discricionariedade ao Executivo quanto à implementação do programa, às formas de parceria e à extensão do benefício, e, portanto, a proposição não cria despesa pública de caráter compulsório, mas apenas autoriza o Poder Executivo a adotar medidas de fomento compatíveis com sua capacidade orçamentária e financeira, preservando a independência e a iniciativa privativa desse Poder.</w:t>
      </w:r>
    </w:p>
    <w:p w14:paraId="1EA63070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Desta feita, além de juridicamente viável, a proposta revela-se socialmente necessária e economicamente oportuna.</w:t>
      </w:r>
    </w:p>
    <w:p w14:paraId="689CEE8F" w14:textId="77777777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A mecanização da agricultura familiar contribui para o aumento da produtividade, redução do esforço físico, maior eficiência do uso do solo e ampliação da renda rural, com impacto direto na segurança alimentar e na fixação das famílias no campo.</w:t>
      </w:r>
    </w:p>
    <w:p w14:paraId="6778D4CA" w14:textId="39824240" w:rsidR="00D473BE" w:rsidRPr="00D05756" w:rsidRDefault="00D473BE" w:rsidP="00D473BE">
      <w:pPr>
        <w:spacing w:line="360" w:lineRule="auto"/>
        <w:ind w:firstLine="709"/>
        <w:jc w:val="both"/>
        <w:rPr>
          <w:rFonts w:ascii="Arial" w:hAnsi="Arial" w:cs="Arial"/>
        </w:rPr>
      </w:pPr>
      <w:r w:rsidRPr="00D05756">
        <w:rPr>
          <w:rFonts w:ascii="Arial" w:hAnsi="Arial" w:cs="Arial"/>
        </w:rPr>
        <w:t>A aprovação deste Projeto de Lei representa, portanto, uma medida de fortalecimento das políticas estaduais de desenvolvimento rural sustentável, de valorização da agricultura familiar e de fomento à inclusão produtiva, todos compatíveis com as competências e os deveres do Estado previstos na Constituição Federal e na Constituição do Estado do Maranhão.</w:t>
      </w:r>
    </w:p>
    <w:p w14:paraId="120B888C" w14:textId="6E7AAA20" w:rsidR="00D473BE" w:rsidRPr="00D05756" w:rsidRDefault="00D473BE" w:rsidP="00D473BE">
      <w:pPr>
        <w:spacing w:line="360" w:lineRule="auto"/>
        <w:ind w:firstLine="709"/>
        <w:jc w:val="both"/>
        <w:rPr>
          <w:rFonts w:ascii="Arial" w:eastAsiaTheme="minorEastAsia" w:hAnsi="Arial" w:cs="Arial"/>
          <w:lang w:val="pt-BR" w:eastAsia="pt-BR"/>
        </w:rPr>
      </w:pPr>
      <w:r w:rsidRPr="00D05756">
        <w:rPr>
          <w:rFonts w:ascii="Arial" w:eastAsiaTheme="minorEastAsia" w:hAnsi="Arial" w:cs="Arial"/>
          <w:lang w:val="pt-BR" w:eastAsia="pt-BR"/>
        </w:rPr>
        <w:t>Assim, solicita-se, portanto, o apoio dos nobres parlamentares para aprovação deste projeto.</w:t>
      </w:r>
    </w:p>
    <w:p w14:paraId="5F820C71" w14:textId="77777777" w:rsidR="00D473BE" w:rsidRPr="00D05756" w:rsidRDefault="00D473BE" w:rsidP="00D473BE">
      <w:pPr>
        <w:spacing w:line="360" w:lineRule="auto"/>
        <w:ind w:firstLine="720"/>
        <w:jc w:val="both"/>
        <w:rPr>
          <w:rFonts w:ascii="Arial" w:eastAsiaTheme="minorEastAsia" w:hAnsi="Arial" w:cs="Arial"/>
          <w:lang w:val="pt-BR" w:eastAsia="pt-BR"/>
        </w:rPr>
      </w:pPr>
    </w:p>
    <w:p w14:paraId="1B2443FD" w14:textId="77777777" w:rsidR="00D473BE" w:rsidRPr="00D05756" w:rsidRDefault="00D473BE" w:rsidP="00D473BE">
      <w:pPr>
        <w:spacing w:line="360" w:lineRule="auto"/>
        <w:ind w:firstLine="720"/>
        <w:jc w:val="both"/>
        <w:rPr>
          <w:rFonts w:ascii="Arial" w:eastAsiaTheme="minorEastAsia" w:hAnsi="Arial" w:cs="Arial"/>
          <w:lang w:val="pt-BR" w:eastAsia="pt-BR"/>
        </w:rPr>
      </w:pPr>
    </w:p>
    <w:p w14:paraId="5950FAD4" w14:textId="7CC37266" w:rsidR="00D473BE" w:rsidRPr="00D05756" w:rsidRDefault="00D473BE" w:rsidP="00D473BE">
      <w:pPr>
        <w:pStyle w:val="s18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D05756">
        <w:rPr>
          <w:rStyle w:val="s7"/>
          <w:rFonts w:ascii="Arial" w:hAnsi="Arial" w:cs="Arial"/>
          <w:sz w:val="22"/>
          <w:szCs w:val="22"/>
        </w:rPr>
        <w:t>Assembleia</w:t>
      </w:r>
      <w:r w:rsidRPr="00D05756">
        <w:rPr>
          <w:rStyle w:val="apple-converted-space"/>
          <w:rFonts w:ascii="Arial" w:hAnsi="Arial" w:cs="Arial"/>
          <w:sz w:val="22"/>
          <w:szCs w:val="22"/>
        </w:rPr>
        <w:t xml:space="preserve"> </w:t>
      </w:r>
      <w:r w:rsidRPr="00D05756">
        <w:rPr>
          <w:rStyle w:val="s7"/>
          <w:rFonts w:ascii="Arial" w:hAnsi="Arial" w:cs="Arial"/>
          <w:sz w:val="22"/>
          <w:szCs w:val="22"/>
        </w:rPr>
        <w:t>Legislativa do Estado do Maranhão, em</w:t>
      </w:r>
      <w:r w:rsidRPr="00D05756">
        <w:rPr>
          <w:rStyle w:val="apple-converted-space"/>
          <w:rFonts w:ascii="Arial" w:hAnsi="Arial" w:cs="Arial"/>
          <w:sz w:val="22"/>
          <w:szCs w:val="22"/>
        </w:rPr>
        <w:t xml:space="preserve"> </w:t>
      </w:r>
      <w:r w:rsidR="00897EFE">
        <w:rPr>
          <w:rStyle w:val="s7"/>
          <w:rFonts w:ascii="Arial" w:hAnsi="Arial" w:cs="Arial"/>
          <w:sz w:val="22"/>
          <w:szCs w:val="22"/>
        </w:rPr>
        <w:t>10</w:t>
      </w:r>
      <w:r w:rsidR="00D05756">
        <w:rPr>
          <w:rStyle w:val="s7"/>
          <w:rFonts w:ascii="Arial" w:hAnsi="Arial" w:cs="Arial"/>
          <w:sz w:val="22"/>
          <w:szCs w:val="22"/>
        </w:rPr>
        <w:t xml:space="preserve"> de novembro</w:t>
      </w:r>
      <w:r w:rsidRPr="00D05756">
        <w:rPr>
          <w:rStyle w:val="s7"/>
          <w:rFonts w:ascii="Arial" w:hAnsi="Arial" w:cs="Arial"/>
          <w:sz w:val="22"/>
          <w:szCs w:val="22"/>
        </w:rPr>
        <w:t xml:space="preserve"> de 2025</w:t>
      </w:r>
    </w:p>
    <w:p w14:paraId="12B38085" w14:textId="77777777" w:rsidR="00D473BE" w:rsidRPr="00D05756" w:rsidRDefault="00D473BE" w:rsidP="00D473BE">
      <w:pPr>
        <w:pStyle w:val="s11"/>
        <w:spacing w:before="0" w:beforeAutospacing="0" w:after="0" w:afterAutospacing="0" w:line="360" w:lineRule="auto"/>
        <w:ind w:firstLine="720"/>
        <w:jc w:val="both"/>
        <w:rPr>
          <w:rStyle w:val="s5"/>
          <w:rFonts w:ascii="Arial" w:hAnsi="Arial" w:cs="Arial"/>
          <w:b/>
          <w:bCs/>
          <w:sz w:val="22"/>
          <w:szCs w:val="22"/>
        </w:rPr>
      </w:pPr>
    </w:p>
    <w:p w14:paraId="0B561834" w14:textId="77777777" w:rsidR="00D473BE" w:rsidRPr="00D05756" w:rsidRDefault="00D473BE" w:rsidP="00D473BE">
      <w:pPr>
        <w:pStyle w:val="s11"/>
        <w:spacing w:before="0" w:beforeAutospacing="0" w:after="0" w:afterAutospacing="0" w:line="360" w:lineRule="auto"/>
        <w:ind w:firstLine="720"/>
        <w:jc w:val="both"/>
        <w:rPr>
          <w:rStyle w:val="s5"/>
          <w:rFonts w:ascii="Arial" w:hAnsi="Arial" w:cs="Arial"/>
          <w:b/>
          <w:bCs/>
          <w:sz w:val="22"/>
          <w:szCs w:val="22"/>
        </w:rPr>
      </w:pPr>
    </w:p>
    <w:p w14:paraId="00EB4AFA" w14:textId="77777777" w:rsidR="00D473BE" w:rsidRPr="00D05756" w:rsidRDefault="00D473BE" w:rsidP="00D473BE">
      <w:pPr>
        <w:pStyle w:val="s11"/>
        <w:spacing w:before="0" w:beforeAutospacing="0" w:after="0" w:afterAutospacing="0" w:line="360" w:lineRule="auto"/>
        <w:jc w:val="center"/>
        <w:rPr>
          <w:rStyle w:val="s5"/>
          <w:rFonts w:ascii="Arial" w:hAnsi="Arial" w:cs="Arial"/>
          <w:b/>
          <w:bCs/>
          <w:sz w:val="22"/>
          <w:szCs w:val="22"/>
        </w:rPr>
      </w:pPr>
      <w:proofErr w:type="spellStart"/>
      <w:r w:rsidRPr="00D05756">
        <w:rPr>
          <w:rStyle w:val="s5"/>
          <w:rFonts w:ascii="Arial" w:hAnsi="Arial" w:cs="Arial"/>
          <w:b/>
          <w:bCs/>
          <w:sz w:val="22"/>
          <w:szCs w:val="22"/>
        </w:rPr>
        <w:t>Catulé</w:t>
      </w:r>
      <w:proofErr w:type="spellEnd"/>
      <w:r w:rsidRPr="00D05756">
        <w:rPr>
          <w:rStyle w:val="s5"/>
          <w:rFonts w:ascii="Arial" w:hAnsi="Arial" w:cs="Arial"/>
          <w:b/>
          <w:bCs/>
          <w:sz w:val="22"/>
          <w:szCs w:val="22"/>
        </w:rPr>
        <w:t xml:space="preserve"> Júnior</w:t>
      </w:r>
    </w:p>
    <w:p w14:paraId="5DA80241" w14:textId="77777777" w:rsidR="00D473BE" w:rsidRPr="00D05756" w:rsidRDefault="00D473BE" w:rsidP="00D473BE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  <w:sz w:val="22"/>
          <w:szCs w:val="22"/>
        </w:rPr>
      </w:pPr>
      <w:r w:rsidRPr="00D05756">
        <w:rPr>
          <w:rStyle w:val="s7"/>
          <w:rFonts w:ascii="Arial" w:hAnsi="Arial" w:cs="Arial"/>
          <w:sz w:val="22"/>
          <w:szCs w:val="22"/>
        </w:rPr>
        <w:t>Deputado Estadual</w:t>
      </w:r>
    </w:p>
    <w:p w14:paraId="55345283" w14:textId="534E4D72" w:rsidR="00D473BE" w:rsidRDefault="00D473BE" w:rsidP="00D473BE">
      <w:pPr>
        <w:spacing w:before="240"/>
        <w:jc w:val="both"/>
        <w:rPr>
          <w:rFonts w:ascii="Garamond" w:hAnsi="Garamond"/>
          <w:sz w:val="24"/>
        </w:rPr>
      </w:pPr>
    </w:p>
    <w:p w14:paraId="7DFDF0CB" w14:textId="77777777" w:rsidR="00D473BE" w:rsidRPr="007A3C7A" w:rsidRDefault="00D473BE" w:rsidP="00D473BE">
      <w:pPr>
        <w:spacing w:before="240"/>
        <w:jc w:val="both"/>
        <w:rPr>
          <w:rFonts w:ascii="Garamond" w:hAnsi="Garamond"/>
          <w:sz w:val="24"/>
        </w:rPr>
      </w:pPr>
    </w:p>
    <w:p w14:paraId="3F07B8A0" w14:textId="77777777" w:rsidR="00D473BE" w:rsidRPr="00D473BE" w:rsidRDefault="00D473BE" w:rsidP="00E94856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sectPr w:rsidR="00D473BE" w:rsidRPr="00D473BE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4124E" w14:textId="77777777" w:rsidR="008479A9" w:rsidRDefault="008479A9">
      <w:r>
        <w:separator/>
      </w:r>
    </w:p>
  </w:endnote>
  <w:endnote w:type="continuationSeparator" w:id="0">
    <w:p w14:paraId="523BA891" w14:textId="77777777" w:rsidR="008479A9" w:rsidRDefault="00847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15BCA" w14:textId="77777777" w:rsidR="008479A9" w:rsidRDefault="008479A9">
      <w:r>
        <w:separator/>
      </w:r>
    </w:p>
  </w:footnote>
  <w:footnote w:type="continuationSeparator" w:id="0">
    <w:p w14:paraId="3213CAC4" w14:textId="77777777" w:rsidR="008479A9" w:rsidRDefault="00847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B56570">
    <w:pPr>
      <w:pStyle w:val="Cabealho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B56570">
    <w:pPr>
      <w:pStyle w:val="Cabealho"/>
      <w:jc w:val="center"/>
    </w:pPr>
  </w:p>
  <w:p w14:paraId="0A275FCF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B56570">
    <w:pPr>
      <w:pStyle w:val="Cabealho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D92DFE"/>
    <w:multiLevelType w:val="hybridMultilevel"/>
    <w:tmpl w:val="38F20B2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33CC4"/>
    <w:rsid w:val="00054566"/>
    <w:rsid w:val="000645DC"/>
    <w:rsid w:val="000F62AE"/>
    <w:rsid w:val="00110D7F"/>
    <w:rsid w:val="00116F27"/>
    <w:rsid w:val="00137355"/>
    <w:rsid w:val="0015243E"/>
    <w:rsid w:val="00156BAA"/>
    <w:rsid w:val="00176474"/>
    <w:rsid w:val="0019552E"/>
    <w:rsid w:val="001B65EC"/>
    <w:rsid w:val="001E0CE3"/>
    <w:rsid w:val="0022450C"/>
    <w:rsid w:val="0026438F"/>
    <w:rsid w:val="002812FA"/>
    <w:rsid w:val="002B3018"/>
    <w:rsid w:val="002B4FAA"/>
    <w:rsid w:val="002C3467"/>
    <w:rsid w:val="00314EDE"/>
    <w:rsid w:val="0033526F"/>
    <w:rsid w:val="00346BC4"/>
    <w:rsid w:val="00395306"/>
    <w:rsid w:val="003D0CC6"/>
    <w:rsid w:val="003D642C"/>
    <w:rsid w:val="003D7822"/>
    <w:rsid w:val="00415427"/>
    <w:rsid w:val="00460DBE"/>
    <w:rsid w:val="00494432"/>
    <w:rsid w:val="004B3721"/>
    <w:rsid w:val="004D09D8"/>
    <w:rsid w:val="004F77FD"/>
    <w:rsid w:val="005061D4"/>
    <w:rsid w:val="005238CC"/>
    <w:rsid w:val="00540434"/>
    <w:rsid w:val="0054364E"/>
    <w:rsid w:val="006202BB"/>
    <w:rsid w:val="00651A1B"/>
    <w:rsid w:val="006575C8"/>
    <w:rsid w:val="00672B25"/>
    <w:rsid w:val="006A514D"/>
    <w:rsid w:val="006A6A84"/>
    <w:rsid w:val="006F6EBF"/>
    <w:rsid w:val="007A513A"/>
    <w:rsid w:val="007A66EC"/>
    <w:rsid w:val="007C238E"/>
    <w:rsid w:val="007E1062"/>
    <w:rsid w:val="0082018E"/>
    <w:rsid w:val="0082386E"/>
    <w:rsid w:val="00841608"/>
    <w:rsid w:val="008479A9"/>
    <w:rsid w:val="00891F31"/>
    <w:rsid w:val="00897EFE"/>
    <w:rsid w:val="008C692F"/>
    <w:rsid w:val="008F67BC"/>
    <w:rsid w:val="00901B08"/>
    <w:rsid w:val="0092089C"/>
    <w:rsid w:val="0093430D"/>
    <w:rsid w:val="0095420D"/>
    <w:rsid w:val="00960430"/>
    <w:rsid w:val="009A5E5E"/>
    <w:rsid w:val="009D37A5"/>
    <w:rsid w:val="00A14EBE"/>
    <w:rsid w:val="00A56B64"/>
    <w:rsid w:val="00A67DB1"/>
    <w:rsid w:val="00A7581F"/>
    <w:rsid w:val="00B20E29"/>
    <w:rsid w:val="00B25009"/>
    <w:rsid w:val="00B56570"/>
    <w:rsid w:val="00B77589"/>
    <w:rsid w:val="00BD4F8E"/>
    <w:rsid w:val="00BE1EDE"/>
    <w:rsid w:val="00C034C7"/>
    <w:rsid w:val="00C23D6A"/>
    <w:rsid w:val="00C2485C"/>
    <w:rsid w:val="00C710E2"/>
    <w:rsid w:val="00CF0D1B"/>
    <w:rsid w:val="00D053A5"/>
    <w:rsid w:val="00D05756"/>
    <w:rsid w:val="00D473BE"/>
    <w:rsid w:val="00D6707C"/>
    <w:rsid w:val="00D73E9A"/>
    <w:rsid w:val="00DA10B3"/>
    <w:rsid w:val="00DB4100"/>
    <w:rsid w:val="00DB7A0A"/>
    <w:rsid w:val="00DD4147"/>
    <w:rsid w:val="00DF603B"/>
    <w:rsid w:val="00E06ACF"/>
    <w:rsid w:val="00E7744F"/>
    <w:rsid w:val="00E910E8"/>
    <w:rsid w:val="00E94856"/>
    <w:rsid w:val="00EB1100"/>
    <w:rsid w:val="00ED408F"/>
    <w:rsid w:val="00EF2A10"/>
    <w:rsid w:val="00EF773B"/>
    <w:rsid w:val="00F26FE3"/>
    <w:rsid w:val="00F31BAB"/>
    <w:rsid w:val="00F41A02"/>
    <w:rsid w:val="00FB1E1C"/>
    <w:rsid w:val="00FD32F7"/>
    <w:rsid w:val="00FD5305"/>
    <w:rsid w:val="00FE557E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DF603B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346BC4"/>
  </w:style>
  <w:style w:type="paragraph" w:customStyle="1" w:styleId="s18">
    <w:name w:val="s18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7">
    <w:name w:val="s7"/>
    <w:basedOn w:val="Fontepargpadro"/>
    <w:rsid w:val="00346BC4"/>
  </w:style>
  <w:style w:type="paragraph" w:customStyle="1" w:styleId="s19">
    <w:name w:val="s19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paragraph" w:customStyle="1" w:styleId="s11">
    <w:name w:val="s11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5">
    <w:name w:val="s5"/>
    <w:basedOn w:val="Fontepargpadro"/>
    <w:rsid w:val="00346BC4"/>
  </w:style>
  <w:style w:type="character" w:customStyle="1" w:styleId="Ttulo1Char">
    <w:name w:val="Título 1 Char"/>
    <w:link w:val="Ttulo1"/>
    <w:uiPriority w:val="9"/>
    <w:rsid w:val="00C710E2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1139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13</cp:revision>
  <cp:lastPrinted>2025-10-21T16:56:00Z</cp:lastPrinted>
  <dcterms:created xsi:type="dcterms:W3CDTF">2025-11-07T13:39:00Z</dcterms:created>
  <dcterms:modified xsi:type="dcterms:W3CDTF">2025-11-07T14:03:00Z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