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58901" w14:textId="77777777" w:rsidR="00F862E8" w:rsidRDefault="00F862E8" w:rsidP="00B0444F">
      <w:pPr>
        <w:spacing w:line="360" w:lineRule="auto"/>
        <w:rPr>
          <w:rFonts w:ascii="Times New Roman" w:hAnsi="Times New Roman"/>
          <w:b/>
        </w:rPr>
      </w:pPr>
    </w:p>
    <w:p w14:paraId="385B7946" w14:textId="593FC793" w:rsidR="00501ACC" w:rsidRPr="00501ACC" w:rsidRDefault="00501ACC" w:rsidP="00501ACC">
      <w:pPr>
        <w:spacing w:line="360" w:lineRule="auto"/>
        <w:ind w:firstLine="1134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                     </w:t>
      </w:r>
      <w:r w:rsidRPr="00501ACC">
        <w:rPr>
          <w:rFonts w:cs="Arial"/>
          <w:b/>
          <w:bCs/>
          <w:color w:val="000000"/>
        </w:rPr>
        <w:t xml:space="preserve">PROJETO DE LEI Nº </w:t>
      </w:r>
      <w:r>
        <w:rPr>
          <w:rFonts w:cs="Arial"/>
          <w:b/>
          <w:bCs/>
          <w:color w:val="000000"/>
        </w:rPr>
        <w:t xml:space="preserve">             </w:t>
      </w:r>
      <w:r w:rsidR="001427C3">
        <w:rPr>
          <w:rFonts w:cs="Arial"/>
          <w:b/>
          <w:bCs/>
          <w:color w:val="000000"/>
        </w:rPr>
        <w:t xml:space="preserve">/ </w:t>
      </w:r>
      <w:r w:rsidRPr="00501ACC">
        <w:rPr>
          <w:rFonts w:cs="Arial"/>
          <w:b/>
          <w:bCs/>
          <w:color w:val="000000"/>
        </w:rPr>
        <w:t>202</w:t>
      </w:r>
      <w:r>
        <w:rPr>
          <w:rFonts w:cs="Arial"/>
          <w:b/>
          <w:bCs/>
          <w:color w:val="000000"/>
        </w:rPr>
        <w:t>6</w:t>
      </w:r>
    </w:p>
    <w:p w14:paraId="1CF56FAE" w14:textId="77777777" w:rsidR="00501ACC" w:rsidRDefault="00501ACC" w:rsidP="00501ACC">
      <w:pPr>
        <w:spacing w:line="360" w:lineRule="auto"/>
        <w:rPr>
          <w:rFonts w:cs="Arial"/>
          <w:color w:val="000000"/>
        </w:rPr>
      </w:pPr>
    </w:p>
    <w:p w14:paraId="2CBDCBE0" w14:textId="26D75C90" w:rsidR="00501ACC" w:rsidRDefault="00501ACC" w:rsidP="001427C3">
      <w:pPr>
        <w:spacing w:line="360" w:lineRule="auto"/>
        <w:ind w:left="3540" w:firstLine="1134"/>
        <w:rPr>
          <w:rFonts w:cs="Arial"/>
          <w:color w:val="000000"/>
        </w:rPr>
      </w:pPr>
      <w:r w:rsidRPr="00501ACC">
        <w:rPr>
          <w:rFonts w:cs="Arial"/>
          <w:color w:val="000000"/>
        </w:rPr>
        <w:t>Dispõe sobre a vedação de homenagem, no âmbito do Estado do Maranhão, a pessoas condenadas por crimes de violência contra a mulher, e dá outras providências.</w:t>
      </w:r>
    </w:p>
    <w:p w14:paraId="666F3375" w14:textId="77777777" w:rsidR="00501ACC" w:rsidRPr="00501ACC" w:rsidRDefault="00501ACC" w:rsidP="00501ACC">
      <w:pPr>
        <w:spacing w:line="360" w:lineRule="auto"/>
        <w:ind w:left="3540" w:firstLine="1134"/>
        <w:rPr>
          <w:rFonts w:cs="Arial"/>
          <w:b/>
          <w:bCs/>
          <w:color w:val="000000"/>
        </w:rPr>
      </w:pPr>
    </w:p>
    <w:p w14:paraId="041EBB90" w14:textId="6B95D9DC" w:rsidR="00894209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 xml:space="preserve"> A ASSEMBLEIA LEGISLATIVA DO ESTADO DO MARANHÃO DECRETA:</w:t>
      </w:r>
    </w:p>
    <w:p w14:paraId="090C433D" w14:textId="77777777" w:rsidR="00501ACC" w:rsidRDefault="00501ACC" w:rsidP="001427C3">
      <w:pPr>
        <w:spacing w:line="360" w:lineRule="auto"/>
        <w:ind w:left="3540" w:firstLine="1134"/>
        <w:rPr>
          <w:rFonts w:cs="Arial"/>
          <w:color w:val="000000"/>
        </w:rPr>
      </w:pPr>
    </w:p>
    <w:p w14:paraId="58FE6853" w14:textId="212BCFF1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>Art. 1º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Fica vedada, no âmbito do Estado do Maranhão, a atribuição de nome de pessoa condenada por crimes de violência contra a mulher a bens públicos estaduais.</w:t>
      </w:r>
    </w:p>
    <w:p w14:paraId="32F52819" w14:textId="65745BED" w:rsidR="00501ACC" w:rsidRPr="00501ACC" w:rsidRDefault="00501ACC" w:rsidP="001427C3">
      <w:pPr>
        <w:spacing w:line="360" w:lineRule="auto"/>
        <w:ind w:firstLine="1134"/>
        <w:rPr>
          <w:rFonts w:cs="Arial"/>
          <w:color w:val="000000"/>
        </w:rPr>
      </w:pPr>
    </w:p>
    <w:p w14:paraId="3C2E390D" w14:textId="121ECEA7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>Art. 2º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A vedação aplica-se à denominação de:</w:t>
      </w:r>
    </w:p>
    <w:p w14:paraId="544F7161" w14:textId="77777777" w:rsidR="00501ACC" w:rsidRPr="00501ACC" w:rsidRDefault="00501ACC" w:rsidP="001427C3">
      <w:pPr>
        <w:spacing w:line="360" w:lineRule="auto"/>
        <w:jc w:val="left"/>
        <w:rPr>
          <w:rFonts w:cs="Arial"/>
          <w:color w:val="000000"/>
        </w:rPr>
      </w:pPr>
      <w:r w:rsidRPr="00501ACC">
        <w:rPr>
          <w:rFonts w:cs="Arial"/>
          <w:color w:val="000000"/>
        </w:rPr>
        <w:t>I – ruas, avenidas e logradouros públicos;</w:t>
      </w:r>
      <w:r w:rsidRPr="00501ACC">
        <w:rPr>
          <w:rFonts w:cs="Arial"/>
          <w:color w:val="000000"/>
        </w:rPr>
        <w:br/>
        <w:t>II – praças e espaços públicos;</w:t>
      </w:r>
      <w:r w:rsidRPr="00501ACC">
        <w:rPr>
          <w:rFonts w:cs="Arial"/>
          <w:color w:val="000000"/>
        </w:rPr>
        <w:br/>
        <w:t>III – prédios e repartições públicas;</w:t>
      </w:r>
      <w:r w:rsidRPr="00501ACC">
        <w:rPr>
          <w:rFonts w:cs="Arial"/>
          <w:color w:val="000000"/>
        </w:rPr>
        <w:br/>
        <w:t>IV – escolas, hospitais e demais equipamentos públicos;</w:t>
      </w:r>
      <w:r w:rsidRPr="00501ACC">
        <w:rPr>
          <w:rFonts w:cs="Arial"/>
          <w:color w:val="000000"/>
        </w:rPr>
        <w:br/>
        <w:t>V – quaisquer bens públicos sob administração estadual.</w:t>
      </w:r>
    </w:p>
    <w:p w14:paraId="06BD75ED" w14:textId="004801A9" w:rsidR="00501ACC" w:rsidRPr="00501ACC" w:rsidRDefault="00501ACC" w:rsidP="001427C3">
      <w:pPr>
        <w:spacing w:line="360" w:lineRule="auto"/>
        <w:ind w:firstLine="1134"/>
        <w:rPr>
          <w:rFonts w:cs="Arial"/>
          <w:color w:val="000000"/>
        </w:rPr>
      </w:pPr>
    </w:p>
    <w:p w14:paraId="18B0940D" w14:textId="3E3AEF80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>Art. 3º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Para os fins desta Lei, consideram-se crimes de violência contra a mulher aqueles previstos na Lei Maria da Penha, no Código Penal e em demais legislações pertinentes.</w:t>
      </w:r>
    </w:p>
    <w:p w14:paraId="492C7BCE" w14:textId="7B0169E2" w:rsidR="00501ACC" w:rsidRPr="00501ACC" w:rsidRDefault="00501ACC" w:rsidP="001427C3">
      <w:pPr>
        <w:spacing w:line="360" w:lineRule="auto"/>
        <w:ind w:firstLine="1134"/>
        <w:rPr>
          <w:rFonts w:cs="Arial"/>
          <w:color w:val="000000"/>
        </w:rPr>
      </w:pPr>
    </w:p>
    <w:p w14:paraId="09CBCA3A" w14:textId="6321B2C1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>Art. 4º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A vedação prevista nesta Lei aplica-se exclusivamente às hipóteses de condenação criminal transitada em julgado.</w:t>
      </w:r>
    </w:p>
    <w:p w14:paraId="6A19C63E" w14:textId="673518B3" w:rsidR="00501ACC" w:rsidRPr="00501ACC" w:rsidRDefault="00501ACC" w:rsidP="001427C3">
      <w:pPr>
        <w:spacing w:line="360" w:lineRule="auto"/>
        <w:ind w:firstLine="1134"/>
        <w:rPr>
          <w:rFonts w:cs="Arial"/>
          <w:color w:val="000000"/>
        </w:rPr>
      </w:pPr>
    </w:p>
    <w:p w14:paraId="33FE3B99" w14:textId="34014CB5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lastRenderedPageBreak/>
        <w:t>Art. 5º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Fica vedada, no âmbito do Poder Legislativo Estadual, a concessão de homenagens, honrarias, títulos ou quaisquer formas de reconhecimento oficial a pessoas condenadas, com trânsito em julgado, por crimes de violência contra a mulher.</w:t>
      </w:r>
    </w:p>
    <w:p w14:paraId="3B413D64" w14:textId="471E9D9D" w:rsidR="00501ACC" w:rsidRPr="00501ACC" w:rsidRDefault="00501ACC" w:rsidP="001427C3">
      <w:pPr>
        <w:spacing w:line="360" w:lineRule="auto"/>
        <w:ind w:firstLine="1134"/>
        <w:rPr>
          <w:rFonts w:cs="Arial"/>
          <w:color w:val="000000"/>
        </w:rPr>
      </w:pPr>
    </w:p>
    <w:p w14:paraId="475E7B81" w14:textId="617B6B08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  <w:r w:rsidRPr="00501ACC">
        <w:rPr>
          <w:rFonts w:cs="Arial"/>
          <w:b/>
          <w:bCs/>
          <w:color w:val="000000"/>
        </w:rPr>
        <w:t>Art. 6º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Para os fins do disposto no art. 5º, consideram-se homenagens:</w:t>
      </w:r>
    </w:p>
    <w:p w14:paraId="0EB4CE92" w14:textId="77777777" w:rsidR="00501ACC" w:rsidRPr="00501ACC" w:rsidRDefault="00501ACC" w:rsidP="001427C3">
      <w:pPr>
        <w:spacing w:line="360" w:lineRule="auto"/>
        <w:jc w:val="left"/>
        <w:rPr>
          <w:rFonts w:cs="Arial"/>
          <w:color w:val="000000"/>
        </w:rPr>
      </w:pPr>
      <w:r w:rsidRPr="00501ACC">
        <w:rPr>
          <w:rFonts w:cs="Arial"/>
          <w:color w:val="000000"/>
        </w:rPr>
        <w:t>I – títulos honoríficos;</w:t>
      </w:r>
      <w:r w:rsidRPr="00501ACC">
        <w:rPr>
          <w:rFonts w:cs="Arial"/>
          <w:color w:val="000000"/>
        </w:rPr>
        <w:br/>
        <w:t>II – medalhas e comendas;</w:t>
      </w:r>
      <w:r w:rsidRPr="00501ACC">
        <w:rPr>
          <w:rFonts w:cs="Arial"/>
          <w:color w:val="000000"/>
        </w:rPr>
        <w:br/>
        <w:t>III – moções de aplauso ou reconhecimento;</w:t>
      </w:r>
      <w:r w:rsidRPr="00501ACC">
        <w:rPr>
          <w:rFonts w:cs="Arial"/>
          <w:color w:val="000000"/>
        </w:rPr>
        <w:br/>
        <w:t>IV – denominação de espaços internos da Assembleia Legislativa;</w:t>
      </w:r>
      <w:r w:rsidRPr="00501ACC">
        <w:rPr>
          <w:rFonts w:cs="Arial"/>
          <w:color w:val="000000"/>
        </w:rPr>
        <w:br/>
        <w:t>V – quaisquer outras formas de distinção concedidas pelo Poder Legislativo.</w:t>
      </w:r>
    </w:p>
    <w:p w14:paraId="73215654" w14:textId="77777777" w:rsidR="00501ACC" w:rsidRDefault="00501ACC" w:rsidP="001427C3">
      <w:pPr>
        <w:spacing w:line="360" w:lineRule="auto"/>
        <w:ind w:firstLine="1134"/>
        <w:rPr>
          <w:rFonts w:cs="Arial"/>
          <w:b/>
          <w:bCs/>
          <w:color w:val="000000"/>
        </w:rPr>
      </w:pPr>
    </w:p>
    <w:p w14:paraId="7E0EE727" w14:textId="400EC247" w:rsidR="00501ACC" w:rsidRDefault="00501ACC" w:rsidP="001427C3">
      <w:pPr>
        <w:spacing w:line="360" w:lineRule="auto"/>
        <w:rPr>
          <w:rFonts w:cs="Arial"/>
          <w:color w:val="000000"/>
        </w:rPr>
      </w:pPr>
      <w:r w:rsidRPr="00501ACC">
        <w:rPr>
          <w:rFonts w:cs="Arial"/>
          <w:b/>
          <w:bCs/>
          <w:color w:val="000000"/>
        </w:rPr>
        <w:t>Art. 7º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Os órgãos e comissões responsáveis pela concessão de homenagens no âmbito da Assembleia Legislativa deverão observar o disposto nesta Lei.</w:t>
      </w:r>
    </w:p>
    <w:p w14:paraId="46AC4F73" w14:textId="77777777" w:rsidR="00501ACC" w:rsidRPr="00501ACC" w:rsidRDefault="00501ACC" w:rsidP="001427C3">
      <w:pPr>
        <w:spacing w:line="360" w:lineRule="auto"/>
        <w:rPr>
          <w:rFonts w:cs="Arial"/>
          <w:b/>
          <w:bCs/>
          <w:color w:val="000000"/>
        </w:rPr>
      </w:pPr>
    </w:p>
    <w:p w14:paraId="76E934A7" w14:textId="5B70C086" w:rsidR="00501ACC" w:rsidRPr="007152FB" w:rsidRDefault="00501ACC" w:rsidP="001427C3">
      <w:pPr>
        <w:spacing w:line="360" w:lineRule="auto"/>
        <w:rPr>
          <w:rFonts w:cs="Arial"/>
          <w:color w:val="000000"/>
        </w:rPr>
      </w:pPr>
      <w:r w:rsidRPr="00501ACC">
        <w:rPr>
          <w:rFonts w:cs="Arial"/>
          <w:b/>
          <w:bCs/>
          <w:color w:val="000000"/>
        </w:rPr>
        <w:t>Art. 6º</w:t>
      </w:r>
      <w:r>
        <w:rPr>
          <w:rFonts w:cs="Arial"/>
          <w:b/>
          <w:bCs/>
          <w:color w:val="000000"/>
        </w:rPr>
        <w:t xml:space="preserve"> </w:t>
      </w:r>
      <w:r w:rsidRPr="00501ACC">
        <w:rPr>
          <w:rFonts w:cs="Arial"/>
          <w:color w:val="000000"/>
        </w:rPr>
        <w:t>Esta Lei entra em vigor na data de sua publicação.</w:t>
      </w:r>
    </w:p>
    <w:p w14:paraId="6972ABF1" w14:textId="14382592" w:rsidR="00CB1015" w:rsidRDefault="007152FB" w:rsidP="001427C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580F4B">
        <w:rPr>
          <w:b/>
          <w:color w:val="000000" w:themeColor="text1"/>
        </w:rPr>
        <w:t>14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501ACC">
        <w:rPr>
          <w:b/>
          <w:color w:val="000000" w:themeColor="text1"/>
        </w:rPr>
        <w:t>ABRIL</w:t>
      </w:r>
      <w:r w:rsidRPr="00A42A3E">
        <w:rPr>
          <w:b/>
          <w:color w:val="000000" w:themeColor="text1"/>
        </w:rPr>
        <w:t xml:space="preserve"> DE 202</w:t>
      </w:r>
      <w:r w:rsidR="00501ACC">
        <w:rPr>
          <w:b/>
          <w:color w:val="000000" w:themeColor="text1"/>
        </w:rPr>
        <w:t>6</w:t>
      </w:r>
      <w:r w:rsidRPr="002E478A">
        <w:rPr>
          <w:color w:val="000000" w:themeColor="text1"/>
        </w:rPr>
        <w:t>.</w:t>
      </w:r>
    </w:p>
    <w:p w14:paraId="4F6D027E" w14:textId="77777777" w:rsidR="007E7236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736E666" w14:textId="77777777" w:rsidR="00B9494D" w:rsidRDefault="00B9494D" w:rsidP="00B9494D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60317985" w14:textId="77777777" w:rsidR="00B9494D" w:rsidRDefault="00B9494D" w:rsidP="00B9494D">
      <w:pPr>
        <w:jc w:val="center"/>
        <w:rPr>
          <w:rFonts w:cs="Arial"/>
        </w:rPr>
      </w:pPr>
      <w:r>
        <w:rPr>
          <w:rFonts w:cs="Arial"/>
        </w:rPr>
        <w:t>Deputada Estadual</w:t>
      </w:r>
    </w:p>
    <w:p w14:paraId="01CE2A94" w14:textId="77777777" w:rsidR="007E7236" w:rsidRPr="00CB1015" w:rsidRDefault="007E7236" w:rsidP="00E27B63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</w:p>
    <w:p w14:paraId="0508C93D" w14:textId="14A94A3D" w:rsidR="007E7236" w:rsidRDefault="004E559B" w:rsidP="004E559B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</w:t>
      </w:r>
      <w:r w:rsidR="001A3FB7">
        <w:rPr>
          <w:rFonts w:ascii="Times New Roman" w:hAnsi="Times New Roman"/>
          <w:b/>
        </w:rPr>
        <w:t xml:space="preserve">         </w:t>
      </w:r>
    </w:p>
    <w:p w14:paraId="11198FCA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5758076E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19D988B9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5AB539D5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2D8A7EC3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39462F3F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1C6FEA35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2D7DE50D" w14:textId="148DAD27" w:rsidR="00501ACC" w:rsidRDefault="001427C3" w:rsidP="001427C3">
      <w:pPr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                                       </w:t>
      </w:r>
      <w:r w:rsidR="00501ACC" w:rsidRPr="00501ACC">
        <w:rPr>
          <w:rFonts w:ascii="Times New Roman" w:hAnsi="Times New Roman"/>
          <w:b/>
        </w:rPr>
        <w:t>JUSTIFICATIVA</w:t>
      </w:r>
    </w:p>
    <w:p w14:paraId="260D967D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3CFF7602" w14:textId="77777777" w:rsidR="00501ACC" w:rsidRDefault="00501ACC" w:rsidP="004E559B">
      <w:pPr>
        <w:ind w:firstLine="720"/>
        <w:rPr>
          <w:rFonts w:ascii="Times New Roman" w:hAnsi="Times New Roman"/>
          <w:b/>
        </w:rPr>
      </w:pPr>
    </w:p>
    <w:p w14:paraId="6F13C330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O presente Projeto de Lei tem por finalidade vedar a concessão de homenagens, bem como a atribuição de nomes a bens públicos estaduais, a pessoas condenadas por crimes de violência contra a mulher, no âmbito do Estado do Maranhão.</w:t>
      </w:r>
    </w:p>
    <w:p w14:paraId="643403C5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A proposta encontra amparo nos princípios constitucionais da dignidade da pessoa humana e da moralidade administrativa, pilares do Estado Democrático de Direito, e visa assegurar que o Poder Público não perpetue, ainda que simbolicamente, o reconhecimento de indivíduos que tenham praticado condutas incompatíveis com os valores fundamentais da sociedade.</w:t>
      </w:r>
    </w:p>
    <w:p w14:paraId="3A8175CF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A nomeação de bens públicos e a concessão de honrarias representam formas legítimas de reconhecimento estatal, devendo refletir exemplos positivos de conduta e contribuição social. Nesse sentido, não se mostra razoável que pessoas condenadas por crimes de violência contra a mulher, como aqueles previstos na Lei Maria da Penha e no Código Penal, sejam homenageadas pelo Estado, sob pena de se transmitir à sociedade mensagem contrária aos esforços de enfrentamento à violência de gênero.</w:t>
      </w:r>
    </w:p>
    <w:p w14:paraId="1391467E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A iniciativa também possui caráter pedagógico e simbólico, contribuindo para o fortalecimento de uma cultura de respeito, igualdade e valorização das mulheres, ao mesmo tempo em que reafirma o compromisso institucional com a proteção dos direitos humanos.</w:t>
      </w:r>
    </w:p>
    <w:p w14:paraId="4749FD68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Importante destacar que a proposta respeita o devido processo legal e o princípio da presunção de inocência, ao restringir sua aplicação exclusivamente às hipóteses de condenação criminal com trânsito em julgado.</w:t>
      </w:r>
    </w:p>
    <w:p w14:paraId="7C8B4A02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Ademais, o Projeto avança ao estabelecer, de forma expressa, a vedação no âmbito do próprio Poder Legislativo Estadual, garantindo que esta Casa atue de maneira coerente com os valores que busca promover, especialmente no que se refere à defesa da dignidade das mulheres.</w:t>
      </w:r>
    </w:p>
    <w:p w14:paraId="48427FE2" w14:textId="77777777" w:rsidR="001427C3" w:rsidRDefault="001427C3" w:rsidP="001427C3">
      <w:pPr>
        <w:spacing w:line="360" w:lineRule="auto"/>
        <w:ind w:firstLine="720"/>
        <w:rPr>
          <w:rFonts w:cs="Arial"/>
          <w:bCs/>
        </w:rPr>
      </w:pPr>
    </w:p>
    <w:p w14:paraId="06A316A8" w14:textId="7ED83A53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lastRenderedPageBreak/>
        <w:t>Ressalta-se, ainda, que medidas semelhantes já foram adotadas em outras unidades da federação, evidenciando a relevância e a viabilidade da presente iniciativa.</w:t>
      </w:r>
    </w:p>
    <w:p w14:paraId="39A8DC1C" w14:textId="77777777" w:rsidR="001427C3" w:rsidRPr="001427C3" w:rsidRDefault="001427C3" w:rsidP="001427C3">
      <w:pPr>
        <w:spacing w:line="360" w:lineRule="auto"/>
        <w:ind w:firstLine="720"/>
        <w:rPr>
          <w:rFonts w:cs="Arial"/>
        </w:rPr>
      </w:pPr>
      <w:r w:rsidRPr="001427C3">
        <w:rPr>
          <w:rFonts w:cs="Arial"/>
        </w:rPr>
        <w:t>O Estado não pode homenagear quem violou aquilo que a Constituição mais protege: a dignidade da pessoa humana, especialmente das mulheres.</w:t>
      </w:r>
    </w:p>
    <w:p w14:paraId="1E10F70A" w14:textId="77777777" w:rsidR="001427C3" w:rsidRPr="001427C3" w:rsidRDefault="001427C3" w:rsidP="001427C3">
      <w:pPr>
        <w:spacing w:line="360" w:lineRule="auto"/>
        <w:ind w:firstLine="720"/>
        <w:rPr>
          <w:rFonts w:cs="Arial"/>
          <w:bCs/>
        </w:rPr>
      </w:pPr>
      <w:r w:rsidRPr="001427C3">
        <w:rPr>
          <w:rFonts w:cs="Arial"/>
          <w:bCs/>
        </w:rPr>
        <w:t>Diante do exposto, considerando a importância da matéria e seu relevante interesse público, contamos com o apoio dos nobres parlamentares para a aprovação do presente Projeto de Lei.</w:t>
      </w:r>
    </w:p>
    <w:p w14:paraId="07E12682" w14:textId="77777777" w:rsidR="00D20135" w:rsidRDefault="00D20135" w:rsidP="001427C3">
      <w:pPr>
        <w:spacing w:line="360" w:lineRule="auto"/>
        <w:ind w:firstLine="720"/>
        <w:rPr>
          <w:rFonts w:ascii="Times New Roman" w:hAnsi="Times New Roman"/>
          <w:b/>
        </w:rPr>
      </w:pPr>
    </w:p>
    <w:p w14:paraId="58FA9159" w14:textId="77777777" w:rsidR="00AA1B7C" w:rsidRDefault="00AA1B7C" w:rsidP="007152FB">
      <w:pPr>
        <w:autoSpaceDE w:val="0"/>
        <w:autoSpaceDN w:val="0"/>
        <w:adjustRightInd w:val="0"/>
        <w:spacing w:line="276" w:lineRule="auto"/>
        <w:jc w:val="center"/>
        <w:rPr>
          <w:rFonts w:ascii="Times New Roman" w:hAnsi="Times New Roman"/>
          <w:b/>
        </w:rPr>
      </w:pP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3E472" w14:textId="77777777" w:rsidR="003013DD" w:rsidRDefault="003013DD" w:rsidP="007152FB">
      <w:r>
        <w:separator/>
      </w:r>
    </w:p>
  </w:endnote>
  <w:endnote w:type="continuationSeparator" w:id="0">
    <w:p w14:paraId="4102A880" w14:textId="77777777" w:rsidR="003013DD" w:rsidRDefault="003013DD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47A34" w14:textId="77777777" w:rsidR="003013DD" w:rsidRDefault="003013DD" w:rsidP="007152FB">
      <w:r>
        <w:separator/>
      </w:r>
    </w:p>
  </w:footnote>
  <w:footnote w:type="continuationSeparator" w:id="0">
    <w:p w14:paraId="240AB620" w14:textId="77777777" w:rsidR="003013DD" w:rsidRDefault="003013DD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460A5"/>
    <w:rsid w:val="000544DA"/>
    <w:rsid w:val="000F2FFA"/>
    <w:rsid w:val="001427C3"/>
    <w:rsid w:val="00160CBE"/>
    <w:rsid w:val="001A3FB7"/>
    <w:rsid w:val="001A59BF"/>
    <w:rsid w:val="001B4C81"/>
    <w:rsid w:val="001D6FD1"/>
    <w:rsid w:val="00262023"/>
    <w:rsid w:val="00270CC2"/>
    <w:rsid w:val="002C21F6"/>
    <w:rsid w:val="003013DD"/>
    <w:rsid w:val="003406B1"/>
    <w:rsid w:val="0036529E"/>
    <w:rsid w:val="003C341D"/>
    <w:rsid w:val="00463589"/>
    <w:rsid w:val="004D7B34"/>
    <w:rsid w:val="004E559B"/>
    <w:rsid w:val="00501ACC"/>
    <w:rsid w:val="00547F51"/>
    <w:rsid w:val="00580F4B"/>
    <w:rsid w:val="00631D2F"/>
    <w:rsid w:val="00674E45"/>
    <w:rsid w:val="006A2F92"/>
    <w:rsid w:val="006E3ED1"/>
    <w:rsid w:val="007152FB"/>
    <w:rsid w:val="007220B6"/>
    <w:rsid w:val="00756BCD"/>
    <w:rsid w:val="007838F5"/>
    <w:rsid w:val="007E7236"/>
    <w:rsid w:val="00824EF5"/>
    <w:rsid w:val="00894209"/>
    <w:rsid w:val="008D7EEC"/>
    <w:rsid w:val="00904825"/>
    <w:rsid w:val="00986EAB"/>
    <w:rsid w:val="009C04FF"/>
    <w:rsid w:val="009C12DB"/>
    <w:rsid w:val="00A048A0"/>
    <w:rsid w:val="00AA1B7C"/>
    <w:rsid w:val="00B0444F"/>
    <w:rsid w:val="00B9494D"/>
    <w:rsid w:val="00BA2170"/>
    <w:rsid w:val="00BE5D54"/>
    <w:rsid w:val="00BE76F4"/>
    <w:rsid w:val="00C96934"/>
    <w:rsid w:val="00CB1015"/>
    <w:rsid w:val="00CF3CF4"/>
    <w:rsid w:val="00D20135"/>
    <w:rsid w:val="00D20BD9"/>
    <w:rsid w:val="00D60544"/>
    <w:rsid w:val="00E27B63"/>
    <w:rsid w:val="00EF2CF3"/>
    <w:rsid w:val="00F03558"/>
    <w:rsid w:val="00F3052A"/>
    <w:rsid w:val="00F86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7220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01AC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01AC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  <w:style w:type="character" w:customStyle="1" w:styleId="Ttulo1Char">
    <w:name w:val="Título 1 Char"/>
    <w:basedOn w:val="Fontepargpadro"/>
    <w:link w:val="Ttulo1"/>
    <w:uiPriority w:val="9"/>
    <w:rsid w:val="007220B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01ACC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01AC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670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8</cp:revision>
  <cp:lastPrinted>2026-04-09T18:52:00Z</cp:lastPrinted>
  <dcterms:created xsi:type="dcterms:W3CDTF">2026-04-14T17:09:00Z</dcterms:created>
  <dcterms:modified xsi:type="dcterms:W3CDTF">2026-04-14T19:24:00Z</dcterms:modified>
</cp:coreProperties>
</file>