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19940" w14:textId="5DE83799" w:rsidR="00F31213" w:rsidRDefault="00BA7E4B" w:rsidP="00BA7E4B">
      <w:pPr>
        <w:pStyle w:val="Corpodetexto"/>
        <w:tabs>
          <w:tab w:val="left" w:pos="5743"/>
        </w:tabs>
        <w:rPr>
          <w:rFonts w:ascii="Times New Roman"/>
          <w:sz w:val="20"/>
        </w:rPr>
      </w:pPr>
      <w:r>
        <w:rPr>
          <w:rFonts w:ascii="Times New Roman"/>
          <w:sz w:val="20"/>
        </w:rPr>
        <w:tab/>
      </w:r>
    </w:p>
    <w:p w14:paraId="0A32A6F1" w14:textId="3846E1CA" w:rsidR="00DC4F61" w:rsidRPr="00FA04CF" w:rsidRDefault="00F60A88" w:rsidP="00EA6F9B">
      <w:pPr>
        <w:pStyle w:val="Corpodetexto"/>
        <w:tabs>
          <w:tab w:val="left" w:pos="1740"/>
        </w:tabs>
        <w:rPr>
          <w:b/>
          <w:bCs/>
        </w:rPr>
      </w:pPr>
      <w:r w:rsidRPr="00FA04CF">
        <w:rPr>
          <w:rFonts w:ascii="Times New Roman"/>
          <w:b/>
          <w:bCs/>
          <w:sz w:val="20"/>
        </w:rPr>
        <w:t xml:space="preserve">       </w:t>
      </w:r>
      <w:r w:rsidR="00EA6F9B" w:rsidRPr="00FA04CF">
        <w:rPr>
          <w:b/>
          <w:bCs/>
        </w:rPr>
        <w:t>PROJETO DE LEI  Nº_________/</w:t>
      </w:r>
      <w:r w:rsidR="00DC4F61" w:rsidRPr="00FA04CF">
        <w:rPr>
          <w:b/>
          <w:bCs/>
        </w:rPr>
        <w:t>202</w:t>
      </w:r>
      <w:r w:rsidR="004C5544">
        <w:rPr>
          <w:b/>
          <w:bCs/>
        </w:rPr>
        <w:t>6</w:t>
      </w:r>
    </w:p>
    <w:p w14:paraId="776F82D6" w14:textId="7C399497" w:rsidR="008C745E" w:rsidRPr="008C745E" w:rsidRDefault="008C745E" w:rsidP="008C745E">
      <w:pPr>
        <w:pStyle w:val="Corpodetexto"/>
        <w:jc w:val="both"/>
      </w:pPr>
    </w:p>
    <w:p w14:paraId="797B9439" w14:textId="20FEBBDE" w:rsidR="004C136E" w:rsidRPr="004C136E" w:rsidRDefault="004C136E" w:rsidP="004C136E">
      <w:pPr>
        <w:spacing w:before="1"/>
        <w:rPr>
          <w:rFonts w:eastAsia="Arial MT"/>
          <w:szCs w:val="20"/>
        </w:rPr>
      </w:pPr>
    </w:p>
    <w:p w14:paraId="489D9260" w14:textId="77777777" w:rsidR="00954FFE" w:rsidRPr="00954FFE" w:rsidRDefault="00954FFE" w:rsidP="00954FFE">
      <w:pPr>
        <w:ind w:left="5812"/>
        <w:jc w:val="both"/>
        <w:rPr>
          <w:color w:val="000000" w:themeColor="text1"/>
          <w:sz w:val="24"/>
          <w:szCs w:val="24"/>
        </w:rPr>
      </w:pPr>
      <w:r w:rsidRPr="00954FFE">
        <w:rPr>
          <w:color w:val="000000" w:themeColor="text1"/>
          <w:sz w:val="24"/>
          <w:szCs w:val="24"/>
        </w:rPr>
        <w:t>Dispõe sobre diretrizes de atendimento humanizado às pessoas com Transtorno do Espectro Autista (TEA níveis 1, 2 e 3) e pacientes em tratamento com cannabis medicinal prescrita, assegurando continuidade terapêutica, educacional, comunicacional e familiar em situações de abordagem policial, transporte institucional e custódia estatal no Estado do Maranhão.</w:t>
      </w:r>
    </w:p>
    <w:p w14:paraId="600546B6" w14:textId="77777777" w:rsidR="00954FFE" w:rsidRPr="00954FFE" w:rsidRDefault="00954FFE" w:rsidP="00954FFE">
      <w:pPr>
        <w:jc w:val="both"/>
        <w:rPr>
          <w:color w:val="000000" w:themeColor="text1"/>
          <w:sz w:val="24"/>
          <w:szCs w:val="24"/>
        </w:rPr>
      </w:pPr>
    </w:p>
    <w:p w14:paraId="4576AC27" w14:textId="77777777" w:rsidR="00954FFE" w:rsidRPr="00954FFE" w:rsidRDefault="00954FFE" w:rsidP="00954FFE">
      <w:pPr>
        <w:jc w:val="both"/>
        <w:rPr>
          <w:color w:val="000000" w:themeColor="text1"/>
          <w:sz w:val="24"/>
          <w:szCs w:val="24"/>
        </w:rPr>
      </w:pPr>
      <w:r w:rsidRPr="00954FFE">
        <w:rPr>
          <w:color w:val="000000" w:themeColor="text1"/>
          <w:sz w:val="24"/>
          <w:szCs w:val="24"/>
        </w:rPr>
        <w:t>A ASSEMBLEIA LEGISLATIVA DO ESTADO DO MARANHÃO decreta:</w:t>
      </w:r>
    </w:p>
    <w:p w14:paraId="74B72D8E"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I</w:t>
      </w:r>
    </w:p>
    <w:p w14:paraId="325B952D" w14:textId="77777777" w:rsidR="00954FFE" w:rsidRPr="00954FFE" w:rsidRDefault="00954FFE" w:rsidP="00954FFE">
      <w:pPr>
        <w:jc w:val="center"/>
        <w:rPr>
          <w:color w:val="000000" w:themeColor="text1"/>
          <w:sz w:val="24"/>
          <w:szCs w:val="24"/>
        </w:rPr>
      </w:pPr>
      <w:r w:rsidRPr="00954FFE">
        <w:rPr>
          <w:color w:val="000000" w:themeColor="text1"/>
          <w:sz w:val="24"/>
          <w:szCs w:val="24"/>
        </w:rPr>
        <w:t>DISPOSIÇÕES PRELIMINARES</w:t>
      </w:r>
    </w:p>
    <w:p w14:paraId="7E76AB19" w14:textId="77777777" w:rsidR="00954FFE" w:rsidRPr="00954FFE" w:rsidRDefault="00954FFE" w:rsidP="00954FFE">
      <w:pPr>
        <w:jc w:val="both"/>
        <w:rPr>
          <w:color w:val="000000" w:themeColor="text1"/>
          <w:sz w:val="24"/>
          <w:szCs w:val="24"/>
        </w:rPr>
      </w:pPr>
      <w:r w:rsidRPr="00954FFE">
        <w:rPr>
          <w:color w:val="000000" w:themeColor="text1"/>
          <w:sz w:val="24"/>
          <w:szCs w:val="24"/>
        </w:rPr>
        <w:t>Art. 1º Esta Lei estabelece diretrizes de atendimento humanizado às pessoas com Transtorno do Espectro Autista — TEA (níveis 1, 2 e 3) e pacientes em tratamento com cannabis medicinal prescrita, no âmbito:</w:t>
      </w:r>
    </w:p>
    <w:p w14:paraId="298ED06D" w14:textId="77777777" w:rsidR="00954FFE" w:rsidRPr="00954FFE" w:rsidRDefault="00954FFE" w:rsidP="00954FFE">
      <w:pPr>
        <w:jc w:val="both"/>
        <w:rPr>
          <w:color w:val="000000" w:themeColor="text1"/>
          <w:sz w:val="24"/>
          <w:szCs w:val="24"/>
        </w:rPr>
      </w:pPr>
      <w:r w:rsidRPr="00954FFE">
        <w:rPr>
          <w:color w:val="000000" w:themeColor="text1"/>
          <w:sz w:val="24"/>
          <w:szCs w:val="24"/>
        </w:rPr>
        <w:t>I — das abordagens policiais;</w:t>
      </w:r>
    </w:p>
    <w:p w14:paraId="66DEA044" w14:textId="77777777" w:rsidR="00954FFE" w:rsidRPr="00954FFE" w:rsidRDefault="00954FFE" w:rsidP="00954FFE">
      <w:pPr>
        <w:jc w:val="both"/>
        <w:rPr>
          <w:color w:val="000000" w:themeColor="text1"/>
          <w:sz w:val="24"/>
          <w:szCs w:val="24"/>
        </w:rPr>
      </w:pPr>
      <w:r w:rsidRPr="00954FFE">
        <w:rPr>
          <w:color w:val="000000" w:themeColor="text1"/>
          <w:sz w:val="24"/>
          <w:szCs w:val="24"/>
        </w:rPr>
        <w:t>II — do transporte institucional;</w:t>
      </w:r>
    </w:p>
    <w:p w14:paraId="05B7332A" w14:textId="77777777" w:rsidR="00954FFE" w:rsidRPr="00954FFE" w:rsidRDefault="00954FFE" w:rsidP="00954FFE">
      <w:pPr>
        <w:jc w:val="both"/>
        <w:rPr>
          <w:color w:val="000000" w:themeColor="text1"/>
          <w:sz w:val="24"/>
          <w:szCs w:val="24"/>
        </w:rPr>
      </w:pPr>
      <w:r w:rsidRPr="00954FFE">
        <w:rPr>
          <w:color w:val="000000" w:themeColor="text1"/>
          <w:sz w:val="24"/>
          <w:szCs w:val="24"/>
        </w:rPr>
        <w:t>III — das unidades de custódia estatal;</w:t>
      </w:r>
    </w:p>
    <w:p w14:paraId="6032794B" w14:textId="77777777" w:rsidR="00954FFE" w:rsidRPr="00954FFE" w:rsidRDefault="00954FFE" w:rsidP="00954FFE">
      <w:pPr>
        <w:jc w:val="both"/>
        <w:rPr>
          <w:color w:val="000000" w:themeColor="text1"/>
          <w:sz w:val="24"/>
          <w:szCs w:val="24"/>
        </w:rPr>
      </w:pPr>
      <w:r w:rsidRPr="00954FFE">
        <w:rPr>
          <w:color w:val="000000" w:themeColor="text1"/>
          <w:sz w:val="24"/>
          <w:szCs w:val="24"/>
        </w:rPr>
        <w:t>IV — dos procedimentos administrativos relacionados à restrição temporária de liberdade.</w:t>
      </w:r>
    </w:p>
    <w:p w14:paraId="0B642471" w14:textId="77777777" w:rsidR="00954FFE" w:rsidRPr="00954FFE" w:rsidRDefault="00954FFE" w:rsidP="00954FFE">
      <w:pPr>
        <w:jc w:val="both"/>
        <w:rPr>
          <w:color w:val="000000" w:themeColor="text1"/>
          <w:sz w:val="24"/>
          <w:szCs w:val="24"/>
        </w:rPr>
      </w:pPr>
      <w:r w:rsidRPr="00954FFE">
        <w:rPr>
          <w:color w:val="000000" w:themeColor="text1"/>
          <w:sz w:val="24"/>
          <w:szCs w:val="24"/>
        </w:rPr>
        <w:t>Art. 2º Para os efeitos desta Lei, considera-se:</w:t>
      </w:r>
    </w:p>
    <w:p w14:paraId="1BD6AFA3" w14:textId="77777777" w:rsidR="00954FFE" w:rsidRPr="00954FFE" w:rsidRDefault="00954FFE" w:rsidP="00954FFE">
      <w:pPr>
        <w:jc w:val="both"/>
        <w:rPr>
          <w:color w:val="000000" w:themeColor="text1"/>
          <w:sz w:val="24"/>
          <w:szCs w:val="24"/>
        </w:rPr>
      </w:pPr>
      <w:r w:rsidRPr="00954FFE">
        <w:rPr>
          <w:color w:val="000000" w:themeColor="text1"/>
          <w:sz w:val="24"/>
          <w:szCs w:val="24"/>
        </w:rPr>
        <w:t>I — pessoa com TEA: aquela diagnosticada conforme critérios clínicos reconhecidos nacionalmente, abrangendo os níveis 1, 2 e 3 de suporte;</w:t>
      </w:r>
    </w:p>
    <w:p w14:paraId="161CB69E" w14:textId="77777777" w:rsidR="00954FFE" w:rsidRPr="00954FFE" w:rsidRDefault="00954FFE" w:rsidP="00954FFE">
      <w:pPr>
        <w:jc w:val="both"/>
        <w:rPr>
          <w:color w:val="000000" w:themeColor="text1"/>
          <w:sz w:val="24"/>
          <w:szCs w:val="24"/>
        </w:rPr>
      </w:pPr>
      <w:r w:rsidRPr="00954FFE">
        <w:rPr>
          <w:color w:val="000000" w:themeColor="text1"/>
          <w:sz w:val="24"/>
          <w:szCs w:val="24"/>
        </w:rPr>
        <w:t>II — paciente em tratamento com cannabis medicinal: pessoa que utiliza derivados da cannabis mediante prescrição por profissional legalmente habilitado;</w:t>
      </w:r>
    </w:p>
    <w:p w14:paraId="669679ED" w14:textId="77777777" w:rsidR="00954FFE" w:rsidRPr="00954FFE" w:rsidRDefault="00954FFE" w:rsidP="00954FFE">
      <w:pPr>
        <w:jc w:val="both"/>
        <w:rPr>
          <w:color w:val="000000" w:themeColor="text1"/>
          <w:sz w:val="24"/>
          <w:szCs w:val="24"/>
        </w:rPr>
      </w:pPr>
      <w:r w:rsidRPr="00954FFE">
        <w:rPr>
          <w:color w:val="000000" w:themeColor="text1"/>
          <w:sz w:val="24"/>
          <w:szCs w:val="24"/>
        </w:rPr>
        <w:t>III — comunicação institucional acessível: fornecimento de informação clara, objetiva, antecipada e adaptada às necessidades cognitivas da pessoa com TEA acerca de procedimentos institucionais que envolvam deslocamento, custódia ou abordagem estatal.</w:t>
      </w:r>
    </w:p>
    <w:p w14:paraId="35D07195"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II</w:t>
      </w:r>
    </w:p>
    <w:p w14:paraId="18A23DF8" w14:textId="77777777" w:rsidR="00954FFE" w:rsidRPr="00954FFE" w:rsidRDefault="00954FFE" w:rsidP="00954FFE">
      <w:pPr>
        <w:jc w:val="center"/>
        <w:rPr>
          <w:color w:val="000000" w:themeColor="text1"/>
          <w:sz w:val="24"/>
          <w:szCs w:val="24"/>
        </w:rPr>
      </w:pPr>
      <w:r w:rsidRPr="00954FFE">
        <w:rPr>
          <w:color w:val="000000" w:themeColor="text1"/>
          <w:sz w:val="24"/>
          <w:szCs w:val="24"/>
        </w:rPr>
        <w:t>DA CONTINUIDADE TERAPÊUTICA</w:t>
      </w:r>
    </w:p>
    <w:p w14:paraId="23300898" w14:textId="77777777" w:rsidR="00954FFE" w:rsidRPr="00954FFE" w:rsidRDefault="00954FFE" w:rsidP="00954FFE">
      <w:pPr>
        <w:jc w:val="both"/>
        <w:rPr>
          <w:color w:val="000000" w:themeColor="text1"/>
          <w:sz w:val="24"/>
          <w:szCs w:val="24"/>
        </w:rPr>
      </w:pPr>
      <w:r w:rsidRPr="00954FFE">
        <w:rPr>
          <w:color w:val="000000" w:themeColor="text1"/>
          <w:sz w:val="24"/>
          <w:szCs w:val="24"/>
        </w:rPr>
        <w:t>Art. 3º Fica assegurada, sempre que houver prescrição profissional válida, a continuidade terapêutica de pacientes em tratamento com cannabis medicinal durante:</w:t>
      </w:r>
    </w:p>
    <w:p w14:paraId="04C67D39" w14:textId="77777777" w:rsidR="00954FFE" w:rsidRPr="00954FFE" w:rsidRDefault="00954FFE" w:rsidP="00954FFE">
      <w:pPr>
        <w:jc w:val="both"/>
        <w:rPr>
          <w:color w:val="000000" w:themeColor="text1"/>
          <w:sz w:val="24"/>
          <w:szCs w:val="24"/>
        </w:rPr>
      </w:pPr>
      <w:r w:rsidRPr="00954FFE">
        <w:rPr>
          <w:color w:val="000000" w:themeColor="text1"/>
          <w:sz w:val="24"/>
          <w:szCs w:val="24"/>
        </w:rPr>
        <w:t>I — abordagem policial;</w:t>
      </w:r>
    </w:p>
    <w:p w14:paraId="4DBEAA8E" w14:textId="77777777" w:rsidR="00954FFE" w:rsidRPr="00954FFE" w:rsidRDefault="00954FFE" w:rsidP="00954FFE">
      <w:pPr>
        <w:jc w:val="both"/>
        <w:rPr>
          <w:color w:val="000000" w:themeColor="text1"/>
          <w:sz w:val="24"/>
          <w:szCs w:val="24"/>
        </w:rPr>
      </w:pPr>
      <w:r w:rsidRPr="00954FFE">
        <w:rPr>
          <w:color w:val="000000" w:themeColor="text1"/>
          <w:sz w:val="24"/>
          <w:szCs w:val="24"/>
        </w:rPr>
        <w:t>II — transporte institucional;</w:t>
      </w:r>
    </w:p>
    <w:p w14:paraId="26A1E1EE" w14:textId="77777777" w:rsidR="00954FFE" w:rsidRPr="00954FFE" w:rsidRDefault="00954FFE" w:rsidP="00954FFE">
      <w:pPr>
        <w:jc w:val="both"/>
        <w:rPr>
          <w:color w:val="000000" w:themeColor="text1"/>
          <w:sz w:val="24"/>
          <w:szCs w:val="24"/>
        </w:rPr>
      </w:pPr>
      <w:r w:rsidRPr="00954FFE">
        <w:rPr>
          <w:color w:val="000000" w:themeColor="text1"/>
          <w:sz w:val="24"/>
          <w:szCs w:val="24"/>
        </w:rPr>
        <w:t>III — permanência em unidade de custódia estatal.</w:t>
      </w:r>
    </w:p>
    <w:p w14:paraId="5DE490AC" w14:textId="0366ABB5" w:rsidR="00954FFE" w:rsidRPr="00954FFE" w:rsidRDefault="00954FFE" w:rsidP="00954FFE">
      <w:pPr>
        <w:jc w:val="both"/>
        <w:rPr>
          <w:color w:val="000000" w:themeColor="text1"/>
          <w:sz w:val="24"/>
          <w:szCs w:val="24"/>
        </w:rPr>
      </w:pPr>
      <w:r w:rsidRPr="00954FFE">
        <w:rPr>
          <w:color w:val="000000" w:themeColor="text1"/>
          <w:sz w:val="24"/>
          <w:szCs w:val="24"/>
        </w:rPr>
        <w:t>Parágrafo único</w:t>
      </w:r>
      <w:r>
        <w:rPr>
          <w:color w:val="000000" w:themeColor="text1"/>
          <w:sz w:val="24"/>
          <w:szCs w:val="24"/>
        </w:rPr>
        <w:t xml:space="preserve"> - </w:t>
      </w:r>
      <w:r w:rsidRPr="00954FFE">
        <w:rPr>
          <w:color w:val="000000" w:themeColor="text1"/>
          <w:sz w:val="24"/>
          <w:szCs w:val="24"/>
        </w:rPr>
        <w:t xml:space="preserve">A continuidade terapêutica observará protocolos sanitários e regulamentação vigente, especialmente normas federais aplicáveis à prescrição e ao uso </w:t>
      </w:r>
      <w:r w:rsidRPr="00954FFE">
        <w:rPr>
          <w:color w:val="000000" w:themeColor="text1"/>
          <w:sz w:val="24"/>
          <w:szCs w:val="24"/>
        </w:rPr>
        <w:lastRenderedPageBreak/>
        <w:t>de cannabis medicinal.</w:t>
      </w:r>
    </w:p>
    <w:p w14:paraId="248F024F"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III</w:t>
      </w:r>
    </w:p>
    <w:p w14:paraId="1D5852CA" w14:textId="77777777" w:rsidR="00954FFE" w:rsidRPr="00954FFE" w:rsidRDefault="00954FFE" w:rsidP="00954FFE">
      <w:pPr>
        <w:jc w:val="center"/>
        <w:rPr>
          <w:color w:val="000000" w:themeColor="text1"/>
          <w:sz w:val="24"/>
          <w:szCs w:val="24"/>
        </w:rPr>
      </w:pPr>
      <w:r w:rsidRPr="00954FFE">
        <w:rPr>
          <w:color w:val="000000" w:themeColor="text1"/>
          <w:sz w:val="24"/>
          <w:szCs w:val="24"/>
        </w:rPr>
        <w:t>DA COMUNICAÇÃO INSTITUCIONAL ACESSÍVEL</w:t>
      </w:r>
    </w:p>
    <w:p w14:paraId="606CCACD" w14:textId="77777777" w:rsidR="00954FFE" w:rsidRPr="00954FFE" w:rsidRDefault="00954FFE" w:rsidP="00954FFE">
      <w:pPr>
        <w:jc w:val="both"/>
        <w:rPr>
          <w:color w:val="000000" w:themeColor="text1"/>
          <w:sz w:val="24"/>
          <w:szCs w:val="24"/>
        </w:rPr>
      </w:pPr>
    </w:p>
    <w:p w14:paraId="48ACF5E3" w14:textId="77777777" w:rsidR="00954FFE" w:rsidRPr="00954FFE" w:rsidRDefault="00954FFE" w:rsidP="00954FFE">
      <w:pPr>
        <w:jc w:val="both"/>
        <w:rPr>
          <w:color w:val="000000" w:themeColor="text1"/>
          <w:sz w:val="24"/>
          <w:szCs w:val="24"/>
        </w:rPr>
      </w:pPr>
      <w:r w:rsidRPr="00954FFE">
        <w:rPr>
          <w:color w:val="000000" w:themeColor="text1"/>
          <w:sz w:val="24"/>
          <w:szCs w:val="24"/>
        </w:rPr>
        <w:t>Art. 4º Pessoas com TEA deverão receber comunicação institucional acessível sempre que houver:</w:t>
      </w:r>
    </w:p>
    <w:p w14:paraId="2E61D005" w14:textId="77777777" w:rsidR="00954FFE" w:rsidRPr="00954FFE" w:rsidRDefault="00954FFE" w:rsidP="00954FFE">
      <w:pPr>
        <w:jc w:val="both"/>
        <w:rPr>
          <w:color w:val="000000" w:themeColor="text1"/>
          <w:sz w:val="24"/>
          <w:szCs w:val="24"/>
        </w:rPr>
      </w:pPr>
      <w:r w:rsidRPr="00954FFE">
        <w:rPr>
          <w:color w:val="000000" w:themeColor="text1"/>
          <w:sz w:val="24"/>
          <w:szCs w:val="24"/>
        </w:rPr>
        <w:t>I — transferência entre unidades;</w:t>
      </w:r>
    </w:p>
    <w:p w14:paraId="79761F63" w14:textId="77777777" w:rsidR="00954FFE" w:rsidRPr="00954FFE" w:rsidRDefault="00954FFE" w:rsidP="00954FFE">
      <w:pPr>
        <w:jc w:val="both"/>
        <w:rPr>
          <w:color w:val="000000" w:themeColor="text1"/>
          <w:sz w:val="24"/>
          <w:szCs w:val="24"/>
        </w:rPr>
      </w:pPr>
      <w:r w:rsidRPr="00954FFE">
        <w:rPr>
          <w:color w:val="000000" w:themeColor="text1"/>
          <w:sz w:val="24"/>
          <w:szCs w:val="24"/>
        </w:rPr>
        <w:t>II — condução para atendimento externo;</w:t>
      </w:r>
    </w:p>
    <w:p w14:paraId="439F156C" w14:textId="77777777" w:rsidR="00954FFE" w:rsidRPr="00954FFE" w:rsidRDefault="00954FFE" w:rsidP="00954FFE">
      <w:pPr>
        <w:jc w:val="both"/>
        <w:rPr>
          <w:color w:val="000000" w:themeColor="text1"/>
          <w:sz w:val="24"/>
          <w:szCs w:val="24"/>
        </w:rPr>
      </w:pPr>
      <w:r w:rsidRPr="00954FFE">
        <w:rPr>
          <w:color w:val="000000" w:themeColor="text1"/>
          <w:sz w:val="24"/>
          <w:szCs w:val="24"/>
        </w:rPr>
        <w:t>III — alteração de local de permanência institucional;</w:t>
      </w:r>
    </w:p>
    <w:p w14:paraId="49059ED5" w14:textId="77777777" w:rsidR="00954FFE" w:rsidRPr="00954FFE" w:rsidRDefault="00954FFE" w:rsidP="00954FFE">
      <w:pPr>
        <w:jc w:val="both"/>
        <w:rPr>
          <w:color w:val="000000" w:themeColor="text1"/>
          <w:sz w:val="24"/>
          <w:szCs w:val="24"/>
        </w:rPr>
      </w:pPr>
      <w:r w:rsidRPr="00954FFE">
        <w:rPr>
          <w:color w:val="000000" w:themeColor="text1"/>
          <w:sz w:val="24"/>
          <w:szCs w:val="24"/>
        </w:rPr>
        <w:t>IV — realização de procedimentos administrativos que impliquem mudança significativa de rotina.</w:t>
      </w:r>
    </w:p>
    <w:p w14:paraId="77AB3FF8"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IV</w:t>
      </w:r>
    </w:p>
    <w:p w14:paraId="7FC21130" w14:textId="77777777" w:rsidR="00954FFE" w:rsidRPr="00954FFE" w:rsidRDefault="00954FFE" w:rsidP="00954FFE">
      <w:pPr>
        <w:jc w:val="center"/>
        <w:rPr>
          <w:color w:val="000000" w:themeColor="text1"/>
          <w:sz w:val="24"/>
          <w:szCs w:val="24"/>
        </w:rPr>
      </w:pPr>
      <w:r w:rsidRPr="00954FFE">
        <w:rPr>
          <w:color w:val="000000" w:themeColor="text1"/>
          <w:sz w:val="24"/>
          <w:szCs w:val="24"/>
        </w:rPr>
        <w:t>DA PROTEÇÃO SENSORIAL E AMBIENTAL</w:t>
      </w:r>
    </w:p>
    <w:p w14:paraId="531A67A1" w14:textId="77777777" w:rsidR="00954FFE" w:rsidRPr="00954FFE" w:rsidRDefault="00954FFE" w:rsidP="00954FFE">
      <w:pPr>
        <w:jc w:val="both"/>
        <w:rPr>
          <w:color w:val="000000" w:themeColor="text1"/>
          <w:sz w:val="24"/>
          <w:szCs w:val="24"/>
        </w:rPr>
      </w:pPr>
      <w:r w:rsidRPr="00954FFE">
        <w:rPr>
          <w:color w:val="000000" w:themeColor="text1"/>
          <w:sz w:val="24"/>
          <w:szCs w:val="24"/>
        </w:rPr>
        <w:t>Art. 5º Sempre que tecnicamente possível, deverão ser adotadas medidas de redução de estímulos sensoriais excessivos durante:</w:t>
      </w:r>
    </w:p>
    <w:p w14:paraId="37067BCF" w14:textId="77777777" w:rsidR="00954FFE" w:rsidRPr="00954FFE" w:rsidRDefault="00954FFE" w:rsidP="00954FFE">
      <w:pPr>
        <w:jc w:val="both"/>
        <w:rPr>
          <w:color w:val="000000" w:themeColor="text1"/>
          <w:sz w:val="24"/>
          <w:szCs w:val="24"/>
        </w:rPr>
      </w:pPr>
      <w:r w:rsidRPr="00954FFE">
        <w:rPr>
          <w:color w:val="000000" w:themeColor="text1"/>
          <w:sz w:val="24"/>
          <w:szCs w:val="24"/>
        </w:rPr>
        <w:t>I — condução institucional;</w:t>
      </w:r>
    </w:p>
    <w:p w14:paraId="0EC87265" w14:textId="77777777" w:rsidR="00954FFE" w:rsidRPr="00954FFE" w:rsidRDefault="00954FFE" w:rsidP="00954FFE">
      <w:pPr>
        <w:jc w:val="both"/>
        <w:rPr>
          <w:color w:val="000000" w:themeColor="text1"/>
          <w:sz w:val="24"/>
          <w:szCs w:val="24"/>
        </w:rPr>
      </w:pPr>
      <w:r w:rsidRPr="00954FFE">
        <w:rPr>
          <w:color w:val="000000" w:themeColor="text1"/>
          <w:sz w:val="24"/>
          <w:szCs w:val="24"/>
        </w:rPr>
        <w:t>II — transporte em viatura;</w:t>
      </w:r>
    </w:p>
    <w:p w14:paraId="3AD93707" w14:textId="77777777" w:rsidR="00954FFE" w:rsidRPr="00954FFE" w:rsidRDefault="00954FFE" w:rsidP="00954FFE">
      <w:pPr>
        <w:jc w:val="both"/>
        <w:rPr>
          <w:color w:val="000000" w:themeColor="text1"/>
          <w:sz w:val="24"/>
          <w:szCs w:val="24"/>
        </w:rPr>
      </w:pPr>
      <w:r w:rsidRPr="00954FFE">
        <w:rPr>
          <w:color w:val="000000" w:themeColor="text1"/>
          <w:sz w:val="24"/>
          <w:szCs w:val="24"/>
        </w:rPr>
        <w:t>III — permanência em ambientes de custódia.</w:t>
      </w:r>
    </w:p>
    <w:p w14:paraId="3A20D312" w14:textId="77777777" w:rsidR="00954FFE" w:rsidRPr="00954FFE" w:rsidRDefault="00954FFE" w:rsidP="00954FFE">
      <w:pPr>
        <w:jc w:val="both"/>
        <w:rPr>
          <w:color w:val="000000" w:themeColor="text1"/>
          <w:sz w:val="24"/>
          <w:szCs w:val="24"/>
        </w:rPr>
      </w:pPr>
      <w:r w:rsidRPr="00954FFE">
        <w:rPr>
          <w:color w:val="000000" w:themeColor="text1"/>
          <w:sz w:val="24"/>
          <w:szCs w:val="24"/>
        </w:rPr>
        <w:t>Parágrafo único - Nos casos de TEA níveis 2 e 3, deverão ser priorizadas medidas adicionais de adaptação ambiental compatíveis com o grau de suporte necessário.</w:t>
      </w:r>
    </w:p>
    <w:p w14:paraId="184E36FA"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V</w:t>
      </w:r>
    </w:p>
    <w:p w14:paraId="0B9FDBB5" w14:textId="77777777" w:rsidR="00954FFE" w:rsidRPr="00954FFE" w:rsidRDefault="00954FFE" w:rsidP="00954FFE">
      <w:pPr>
        <w:jc w:val="center"/>
        <w:rPr>
          <w:color w:val="000000" w:themeColor="text1"/>
          <w:sz w:val="24"/>
          <w:szCs w:val="24"/>
        </w:rPr>
      </w:pPr>
      <w:r w:rsidRPr="00954FFE">
        <w:rPr>
          <w:color w:val="000000" w:themeColor="text1"/>
          <w:sz w:val="24"/>
          <w:szCs w:val="24"/>
        </w:rPr>
        <w:t>DA CONTINUIDADE EDUCACIONAL</w:t>
      </w:r>
    </w:p>
    <w:p w14:paraId="0EBC5BCA" w14:textId="77777777" w:rsidR="00954FFE" w:rsidRPr="00954FFE" w:rsidRDefault="00954FFE" w:rsidP="00954FFE">
      <w:pPr>
        <w:jc w:val="both"/>
        <w:rPr>
          <w:color w:val="000000" w:themeColor="text1"/>
          <w:sz w:val="24"/>
          <w:szCs w:val="24"/>
        </w:rPr>
      </w:pPr>
      <w:r w:rsidRPr="00954FFE">
        <w:rPr>
          <w:color w:val="000000" w:themeColor="text1"/>
          <w:sz w:val="24"/>
          <w:szCs w:val="24"/>
        </w:rPr>
        <w:t>Art. 6º Fica assegurada, sempre que tecnicamente possível, a continuidade de atividades educacionais em modalidade presencial ou remota para pessoas com TEA submetidas à restrição temporária de liberdade.</w:t>
      </w:r>
    </w:p>
    <w:p w14:paraId="6B1A0E3A" w14:textId="77777777" w:rsidR="00954FFE" w:rsidRPr="00954FFE" w:rsidRDefault="00954FFE" w:rsidP="00954FFE">
      <w:pPr>
        <w:jc w:val="both"/>
        <w:rPr>
          <w:color w:val="000000" w:themeColor="text1"/>
          <w:sz w:val="24"/>
          <w:szCs w:val="24"/>
        </w:rPr>
      </w:pPr>
      <w:r w:rsidRPr="00954FFE">
        <w:rPr>
          <w:color w:val="000000" w:themeColor="text1"/>
          <w:sz w:val="24"/>
          <w:szCs w:val="24"/>
        </w:rPr>
        <w:t>Parágrafo único - Incluem-se na proteção prevista neste artigo:</w:t>
      </w:r>
    </w:p>
    <w:p w14:paraId="61A0A999" w14:textId="77777777" w:rsidR="00954FFE" w:rsidRPr="00954FFE" w:rsidRDefault="00954FFE" w:rsidP="00954FFE">
      <w:pPr>
        <w:jc w:val="both"/>
        <w:rPr>
          <w:color w:val="000000" w:themeColor="text1"/>
          <w:sz w:val="24"/>
          <w:szCs w:val="24"/>
        </w:rPr>
      </w:pPr>
      <w:r w:rsidRPr="00954FFE">
        <w:rPr>
          <w:color w:val="000000" w:themeColor="text1"/>
          <w:sz w:val="24"/>
          <w:szCs w:val="24"/>
        </w:rPr>
        <w:t>I — cursos técnicos;</w:t>
      </w:r>
    </w:p>
    <w:p w14:paraId="6B974D63" w14:textId="77777777" w:rsidR="00954FFE" w:rsidRPr="00954FFE" w:rsidRDefault="00954FFE" w:rsidP="00954FFE">
      <w:pPr>
        <w:jc w:val="both"/>
        <w:rPr>
          <w:color w:val="000000" w:themeColor="text1"/>
          <w:sz w:val="24"/>
          <w:szCs w:val="24"/>
        </w:rPr>
      </w:pPr>
      <w:r w:rsidRPr="00954FFE">
        <w:rPr>
          <w:color w:val="000000" w:themeColor="text1"/>
          <w:sz w:val="24"/>
          <w:szCs w:val="24"/>
        </w:rPr>
        <w:t>II — cursos de graduação;</w:t>
      </w:r>
    </w:p>
    <w:p w14:paraId="2680C401" w14:textId="77777777" w:rsidR="00954FFE" w:rsidRPr="00954FFE" w:rsidRDefault="00954FFE" w:rsidP="00954FFE">
      <w:pPr>
        <w:jc w:val="both"/>
        <w:rPr>
          <w:color w:val="000000" w:themeColor="text1"/>
          <w:sz w:val="24"/>
          <w:szCs w:val="24"/>
        </w:rPr>
      </w:pPr>
      <w:r w:rsidRPr="00954FFE">
        <w:rPr>
          <w:color w:val="000000" w:themeColor="text1"/>
          <w:sz w:val="24"/>
          <w:szCs w:val="24"/>
        </w:rPr>
        <w:t>III — cursos de pós-graduação;</w:t>
      </w:r>
    </w:p>
    <w:p w14:paraId="34EC29B7" w14:textId="77777777" w:rsidR="00954FFE" w:rsidRPr="00954FFE" w:rsidRDefault="00954FFE" w:rsidP="00954FFE">
      <w:pPr>
        <w:jc w:val="both"/>
        <w:rPr>
          <w:color w:val="000000" w:themeColor="text1"/>
          <w:sz w:val="24"/>
          <w:szCs w:val="24"/>
        </w:rPr>
      </w:pPr>
      <w:r w:rsidRPr="00954FFE">
        <w:rPr>
          <w:color w:val="000000" w:themeColor="text1"/>
          <w:sz w:val="24"/>
          <w:szCs w:val="24"/>
        </w:rPr>
        <w:t>IV — atividades educacionais em modalidade de educação a distância — EAD.</w:t>
      </w:r>
    </w:p>
    <w:p w14:paraId="630912AB"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VI</w:t>
      </w:r>
    </w:p>
    <w:p w14:paraId="6E1E0502" w14:textId="77777777" w:rsidR="00954FFE" w:rsidRPr="00954FFE" w:rsidRDefault="00954FFE" w:rsidP="00954FFE">
      <w:pPr>
        <w:jc w:val="center"/>
        <w:rPr>
          <w:color w:val="000000" w:themeColor="text1"/>
          <w:sz w:val="24"/>
          <w:szCs w:val="24"/>
        </w:rPr>
      </w:pPr>
      <w:r w:rsidRPr="00954FFE">
        <w:rPr>
          <w:color w:val="000000" w:themeColor="text1"/>
          <w:sz w:val="24"/>
          <w:szCs w:val="24"/>
        </w:rPr>
        <w:t>DA MANUTENÇÃO DO VÍNCULO FAMILIAR</w:t>
      </w:r>
    </w:p>
    <w:p w14:paraId="10B3043B" w14:textId="77777777" w:rsidR="00954FFE" w:rsidRPr="00954FFE" w:rsidRDefault="00954FFE" w:rsidP="00954FFE">
      <w:pPr>
        <w:jc w:val="both"/>
        <w:rPr>
          <w:color w:val="000000" w:themeColor="text1"/>
          <w:sz w:val="24"/>
          <w:szCs w:val="24"/>
        </w:rPr>
      </w:pPr>
      <w:r w:rsidRPr="00954FFE">
        <w:rPr>
          <w:color w:val="000000" w:themeColor="text1"/>
          <w:sz w:val="24"/>
          <w:szCs w:val="24"/>
        </w:rPr>
        <w:t>Art. 7º Nos casos de custódia estatal envolvendo pessoas com TEA ou pacientes em tratamento com cannabis medicinal prescrita, deverá ser priorizada a manutenção do vínculo familiar por meio de:</w:t>
      </w:r>
    </w:p>
    <w:p w14:paraId="3EB6117E" w14:textId="77777777" w:rsidR="00954FFE" w:rsidRPr="00954FFE" w:rsidRDefault="00954FFE" w:rsidP="00954FFE">
      <w:pPr>
        <w:jc w:val="both"/>
        <w:rPr>
          <w:color w:val="000000" w:themeColor="text1"/>
          <w:sz w:val="24"/>
          <w:szCs w:val="24"/>
        </w:rPr>
      </w:pPr>
      <w:r w:rsidRPr="00954FFE">
        <w:rPr>
          <w:color w:val="000000" w:themeColor="text1"/>
          <w:sz w:val="24"/>
          <w:szCs w:val="24"/>
        </w:rPr>
        <w:t>I — visitas presenciais;</w:t>
      </w:r>
    </w:p>
    <w:p w14:paraId="69C9E23E" w14:textId="77777777" w:rsidR="00954FFE" w:rsidRPr="00954FFE" w:rsidRDefault="00954FFE" w:rsidP="00954FFE">
      <w:pPr>
        <w:jc w:val="both"/>
        <w:rPr>
          <w:color w:val="000000" w:themeColor="text1"/>
          <w:sz w:val="24"/>
          <w:szCs w:val="24"/>
        </w:rPr>
      </w:pPr>
    </w:p>
    <w:p w14:paraId="00F94BB4" w14:textId="77777777" w:rsidR="00954FFE" w:rsidRPr="00954FFE" w:rsidRDefault="00954FFE" w:rsidP="00954FFE">
      <w:pPr>
        <w:jc w:val="both"/>
        <w:rPr>
          <w:color w:val="000000" w:themeColor="text1"/>
          <w:sz w:val="24"/>
          <w:szCs w:val="24"/>
        </w:rPr>
      </w:pPr>
      <w:r w:rsidRPr="00954FFE">
        <w:rPr>
          <w:color w:val="000000" w:themeColor="text1"/>
          <w:sz w:val="24"/>
          <w:szCs w:val="24"/>
        </w:rPr>
        <w:t>II — ligações institucionais;</w:t>
      </w:r>
    </w:p>
    <w:p w14:paraId="76D9F06F" w14:textId="77777777" w:rsidR="00954FFE" w:rsidRPr="00954FFE" w:rsidRDefault="00954FFE" w:rsidP="00954FFE">
      <w:pPr>
        <w:jc w:val="both"/>
        <w:rPr>
          <w:color w:val="000000" w:themeColor="text1"/>
          <w:sz w:val="24"/>
          <w:szCs w:val="24"/>
        </w:rPr>
      </w:pPr>
      <w:r w:rsidRPr="00954FFE">
        <w:rPr>
          <w:color w:val="000000" w:themeColor="text1"/>
          <w:sz w:val="24"/>
          <w:szCs w:val="24"/>
        </w:rPr>
        <w:t>III — televisitas;</w:t>
      </w:r>
    </w:p>
    <w:p w14:paraId="21E9CD6F" w14:textId="77777777" w:rsidR="00954FFE" w:rsidRPr="00954FFE" w:rsidRDefault="00954FFE" w:rsidP="00954FFE">
      <w:pPr>
        <w:jc w:val="both"/>
        <w:rPr>
          <w:color w:val="000000" w:themeColor="text1"/>
          <w:sz w:val="24"/>
          <w:szCs w:val="24"/>
        </w:rPr>
      </w:pPr>
      <w:r w:rsidRPr="00954FFE">
        <w:rPr>
          <w:color w:val="000000" w:themeColor="text1"/>
          <w:sz w:val="24"/>
          <w:szCs w:val="24"/>
        </w:rPr>
        <w:t>IV — outros meios de comunicação autorizados pela administração pública.</w:t>
      </w:r>
    </w:p>
    <w:p w14:paraId="217AEB20" w14:textId="77777777" w:rsidR="00954FFE" w:rsidRPr="00954FFE" w:rsidRDefault="00954FFE" w:rsidP="00954FFE">
      <w:pPr>
        <w:jc w:val="both"/>
        <w:rPr>
          <w:color w:val="000000" w:themeColor="text1"/>
          <w:sz w:val="24"/>
          <w:szCs w:val="24"/>
        </w:rPr>
      </w:pPr>
      <w:r w:rsidRPr="00954FFE">
        <w:rPr>
          <w:color w:val="000000" w:themeColor="text1"/>
          <w:sz w:val="24"/>
          <w:szCs w:val="24"/>
        </w:rPr>
        <w:t>§ 1º Nos casos de TEA níveis 2 e 3, deverá ser ampliada a prioridade de acesso aos meios de comunicação familiar.</w:t>
      </w:r>
    </w:p>
    <w:p w14:paraId="039AEF43" w14:textId="77777777" w:rsidR="00954FFE" w:rsidRPr="00954FFE" w:rsidRDefault="00954FFE" w:rsidP="00954FFE">
      <w:pPr>
        <w:jc w:val="both"/>
        <w:rPr>
          <w:color w:val="000000" w:themeColor="text1"/>
          <w:sz w:val="24"/>
          <w:szCs w:val="24"/>
        </w:rPr>
      </w:pPr>
      <w:r w:rsidRPr="00954FFE">
        <w:rPr>
          <w:color w:val="000000" w:themeColor="text1"/>
          <w:sz w:val="24"/>
          <w:szCs w:val="24"/>
        </w:rPr>
        <w:t xml:space="preserve">§ 2º Quando houver necessidade comprovada por relatório médico, psicológico, terapêutico ou assistencial, poderá ser autorizada a realização de visitas assistidas </w:t>
      </w:r>
      <w:r w:rsidRPr="00954FFE">
        <w:rPr>
          <w:color w:val="000000" w:themeColor="text1"/>
          <w:sz w:val="24"/>
          <w:szCs w:val="24"/>
        </w:rPr>
        <w:lastRenderedPageBreak/>
        <w:t>adicionais durante a semana, destinadas ao suporte emocional, comportamental ou terapêutico da pessoa com TEA, preferencialmente com acompanhamento de assistente social ou profissional da equipe técnica da unidade.</w:t>
      </w:r>
    </w:p>
    <w:p w14:paraId="69D99F80"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VII</w:t>
      </w:r>
    </w:p>
    <w:p w14:paraId="5CC8DA40" w14:textId="77777777" w:rsidR="00954FFE" w:rsidRPr="00954FFE" w:rsidRDefault="00954FFE" w:rsidP="00954FFE">
      <w:pPr>
        <w:jc w:val="center"/>
        <w:rPr>
          <w:color w:val="000000" w:themeColor="text1"/>
          <w:sz w:val="24"/>
          <w:szCs w:val="24"/>
        </w:rPr>
      </w:pPr>
      <w:r w:rsidRPr="00954FFE">
        <w:rPr>
          <w:color w:val="000000" w:themeColor="text1"/>
          <w:sz w:val="24"/>
          <w:szCs w:val="24"/>
        </w:rPr>
        <w:t>DA PREVENÇÃO DE SITUAÇÕES DE PRESSÃO SOCIAL COLETIVA</w:t>
      </w:r>
    </w:p>
    <w:p w14:paraId="2069A08B" w14:textId="77777777" w:rsidR="00954FFE" w:rsidRPr="00954FFE" w:rsidRDefault="00954FFE" w:rsidP="00954FFE">
      <w:pPr>
        <w:jc w:val="both"/>
        <w:rPr>
          <w:color w:val="000000" w:themeColor="text1"/>
          <w:sz w:val="24"/>
          <w:szCs w:val="24"/>
        </w:rPr>
      </w:pPr>
      <w:r w:rsidRPr="00954FFE">
        <w:rPr>
          <w:color w:val="000000" w:themeColor="text1"/>
          <w:sz w:val="24"/>
          <w:szCs w:val="24"/>
        </w:rPr>
        <w:t>Art. 8º Situações envolvendo mobilização coletiva que resultem em acionamento de força policial contra pessoas com TEA ou pacientes em tratamento com cannabis medicinal prescrita deverão observar protocolos institucionais de avaliação proporcional, técnica e humanizada da intervenção estatal.</w:t>
      </w:r>
    </w:p>
    <w:p w14:paraId="0F40BF6D"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VIII</w:t>
      </w:r>
    </w:p>
    <w:p w14:paraId="41FC84A6" w14:textId="77777777" w:rsidR="00954FFE" w:rsidRPr="00954FFE" w:rsidRDefault="00954FFE" w:rsidP="00954FFE">
      <w:pPr>
        <w:jc w:val="center"/>
        <w:rPr>
          <w:color w:val="000000" w:themeColor="text1"/>
          <w:sz w:val="24"/>
          <w:szCs w:val="24"/>
        </w:rPr>
      </w:pPr>
      <w:r w:rsidRPr="00954FFE">
        <w:rPr>
          <w:color w:val="000000" w:themeColor="text1"/>
          <w:sz w:val="24"/>
          <w:szCs w:val="24"/>
        </w:rPr>
        <w:t>DO RESPEITO AO EXERCÍCIO DA ADVOCACIA</w:t>
      </w:r>
    </w:p>
    <w:p w14:paraId="0F79BC29" w14:textId="77777777" w:rsidR="00954FFE" w:rsidRPr="00954FFE" w:rsidRDefault="00954FFE" w:rsidP="00954FFE">
      <w:pPr>
        <w:jc w:val="both"/>
        <w:rPr>
          <w:color w:val="000000" w:themeColor="text1"/>
          <w:sz w:val="24"/>
          <w:szCs w:val="24"/>
        </w:rPr>
      </w:pPr>
      <w:r w:rsidRPr="00954FFE">
        <w:rPr>
          <w:color w:val="000000" w:themeColor="text1"/>
          <w:sz w:val="24"/>
          <w:szCs w:val="24"/>
        </w:rPr>
        <w:t>Art. 9º Fica assegurada a observância das garantias legais do exercício da advocacia quando familiares ou representantes legais atuarem na defesa de pessoas com TEA ou pacientes em tratamento com cannabis medicinal durante procedimentos institucionais.</w:t>
      </w:r>
    </w:p>
    <w:p w14:paraId="4C341AEE"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IX</w:t>
      </w:r>
    </w:p>
    <w:p w14:paraId="05F9F27C" w14:textId="77777777" w:rsidR="00954FFE" w:rsidRPr="00954FFE" w:rsidRDefault="00954FFE" w:rsidP="00954FFE">
      <w:pPr>
        <w:jc w:val="center"/>
        <w:rPr>
          <w:color w:val="000000" w:themeColor="text1"/>
          <w:sz w:val="24"/>
          <w:szCs w:val="24"/>
        </w:rPr>
      </w:pPr>
      <w:r w:rsidRPr="00954FFE">
        <w:rPr>
          <w:color w:val="000000" w:themeColor="text1"/>
          <w:sz w:val="24"/>
          <w:szCs w:val="24"/>
        </w:rPr>
        <w:t>DA CAPACITAÇÃO DOS AGENTES PÚBLICOS</w:t>
      </w:r>
    </w:p>
    <w:p w14:paraId="60D8203D" w14:textId="77777777" w:rsidR="00954FFE" w:rsidRPr="00954FFE" w:rsidRDefault="00954FFE" w:rsidP="00954FFE">
      <w:pPr>
        <w:jc w:val="both"/>
        <w:rPr>
          <w:color w:val="000000" w:themeColor="text1"/>
          <w:sz w:val="24"/>
          <w:szCs w:val="24"/>
        </w:rPr>
      </w:pPr>
      <w:r w:rsidRPr="00954FFE">
        <w:rPr>
          <w:color w:val="000000" w:themeColor="text1"/>
          <w:sz w:val="24"/>
          <w:szCs w:val="24"/>
        </w:rPr>
        <w:t>Art. 10 O Poder Executivo poderá promover capacitação continuada de agentes públicos estaduais sobre:</w:t>
      </w:r>
    </w:p>
    <w:p w14:paraId="5E59AFE8" w14:textId="77777777" w:rsidR="00954FFE" w:rsidRPr="00954FFE" w:rsidRDefault="00954FFE" w:rsidP="00954FFE">
      <w:pPr>
        <w:jc w:val="both"/>
        <w:rPr>
          <w:color w:val="000000" w:themeColor="text1"/>
          <w:sz w:val="24"/>
          <w:szCs w:val="24"/>
        </w:rPr>
      </w:pPr>
      <w:r w:rsidRPr="00954FFE">
        <w:rPr>
          <w:color w:val="000000" w:themeColor="text1"/>
          <w:sz w:val="24"/>
          <w:szCs w:val="24"/>
        </w:rPr>
        <w:t>I — atendimento a pessoas com TEA níveis 1, 2 e 3;</w:t>
      </w:r>
    </w:p>
    <w:p w14:paraId="31BE38C4" w14:textId="77777777" w:rsidR="00954FFE" w:rsidRPr="00954FFE" w:rsidRDefault="00954FFE" w:rsidP="00954FFE">
      <w:pPr>
        <w:jc w:val="both"/>
        <w:rPr>
          <w:color w:val="000000" w:themeColor="text1"/>
          <w:sz w:val="24"/>
          <w:szCs w:val="24"/>
        </w:rPr>
      </w:pPr>
      <w:r w:rsidRPr="00954FFE">
        <w:rPr>
          <w:color w:val="000000" w:themeColor="text1"/>
          <w:sz w:val="24"/>
          <w:szCs w:val="24"/>
        </w:rPr>
        <w:t>II — atendimento a pacientes em tratamento com cannabis medicinal;</w:t>
      </w:r>
    </w:p>
    <w:p w14:paraId="699476BD" w14:textId="77777777" w:rsidR="00954FFE" w:rsidRPr="00954FFE" w:rsidRDefault="00954FFE" w:rsidP="00954FFE">
      <w:pPr>
        <w:jc w:val="both"/>
        <w:rPr>
          <w:color w:val="000000" w:themeColor="text1"/>
          <w:sz w:val="24"/>
          <w:szCs w:val="24"/>
        </w:rPr>
      </w:pPr>
      <w:r w:rsidRPr="00954FFE">
        <w:rPr>
          <w:color w:val="000000" w:themeColor="text1"/>
          <w:sz w:val="24"/>
          <w:szCs w:val="24"/>
        </w:rPr>
        <w:t>III — comunicação institucional acessível;</w:t>
      </w:r>
    </w:p>
    <w:p w14:paraId="7F9C320F" w14:textId="77777777" w:rsidR="00954FFE" w:rsidRPr="00954FFE" w:rsidRDefault="00954FFE" w:rsidP="00954FFE">
      <w:pPr>
        <w:jc w:val="both"/>
        <w:rPr>
          <w:color w:val="000000" w:themeColor="text1"/>
          <w:sz w:val="24"/>
          <w:szCs w:val="24"/>
        </w:rPr>
      </w:pPr>
      <w:r w:rsidRPr="00954FFE">
        <w:rPr>
          <w:color w:val="000000" w:themeColor="text1"/>
          <w:sz w:val="24"/>
          <w:szCs w:val="24"/>
        </w:rPr>
        <w:t>IV — protocolos humanizados de abordagem.</w:t>
      </w:r>
    </w:p>
    <w:p w14:paraId="26395DE4" w14:textId="77777777" w:rsidR="00954FFE" w:rsidRPr="00954FFE" w:rsidRDefault="00954FFE" w:rsidP="00954FFE">
      <w:pPr>
        <w:jc w:val="center"/>
        <w:rPr>
          <w:color w:val="000000" w:themeColor="text1"/>
          <w:sz w:val="24"/>
          <w:szCs w:val="24"/>
        </w:rPr>
      </w:pPr>
      <w:r w:rsidRPr="00954FFE">
        <w:rPr>
          <w:color w:val="000000" w:themeColor="text1"/>
          <w:sz w:val="24"/>
          <w:szCs w:val="24"/>
        </w:rPr>
        <w:t>CAPÍTULO X</w:t>
      </w:r>
    </w:p>
    <w:p w14:paraId="01D3B1CC" w14:textId="77777777" w:rsidR="00954FFE" w:rsidRPr="00954FFE" w:rsidRDefault="00954FFE" w:rsidP="00954FFE">
      <w:pPr>
        <w:jc w:val="center"/>
        <w:rPr>
          <w:color w:val="000000" w:themeColor="text1"/>
          <w:sz w:val="24"/>
          <w:szCs w:val="24"/>
        </w:rPr>
      </w:pPr>
      <w:r w:rsidRPr="00954FFE">
        <w:rPr>
          <w:color w:val="000000" w:themeColor="text1"/>
          <w:sz w:val="24"/>
          <w:szCs w:val="24"/>
        </w:rPr>
        <w:t>DISPOSIÇÕES FINAIS</w:t>
      </w:r>
    </w:p>
    <w:p w14:paraId="31589AE7" w14:textId="77777777" w:rsidR="00954FFE" w:rsidRPr="00954FFE" w:rsidRDefault="00954FFE" w:rsidP="00954FFE">
      <w:pPr>
        <w:jc w:val="both"/>
        <w:rPr>
          <w:color w:val="000000" w:themeColor="text1"/>
          <w:sz w:val="24"/>
          <w:szCs w:val="24"/>
        </w:rPr>
      </w:pPr>
      <w:r w:rsidRPr="00954FFE">
        <w:rPr>
          <w:color w:val="000000" w:themeColor="text1"/>
          <w:sz w:val="24"/>
          <w:szCs w:val="24"/>
        </w:rPr>
        <w:t>Art. 11 O Poder Executivo poderá regulamentar esta Lei no que couber.</w:t>
      </w:r>
    </w:p>
    <w:p w14:paraId="4A988755" w14:textId="77777777" w:rsidR="00954FFE" w:rsidRDefault="00954FFE" w:rsidP="00954FFE">
      <w:pPr>
        <w:jc w:val="both"/>
        <w:rPr>
          <w:color w:val="000000" w:themeColor="text1"/>
          <w:sz w:val="24"/>
          <w:szCs w:val="24"/>
        </w:rPr>
      </w:pPr>
      <w:r w:rsidRPr="00954FFE">
        <w:rPr>
          <w:color w:val="000000" w:themeColor="text1"/>
          <w:sz w:val="24"/>
          <w:szCs w:val="24"/>
        </w:rPr>
        <w:t>Art. 12 Esta Lei entra em vigor na data de sua publicação.</w:t>
      </w:r>
    </w:p>
    <w:p w14:paraId="28D102BD" w14:textId="77777777" w:rsidR="00954FFE" w:rsidRDefault="00954FFE" w:rsidP="00954FFE">
      <w:pPr>
        <w:jc w:val="both"/>
        <w:rPr>
          <w:color w:val="000000" w:themeColor="text1"/>
          <w:sz w:val="24"/>
          <w:szCs w:val="24"/>
        </w:rPr>
      </w:pPr>
    </w:p>
    <w:p w14:paraId="42DE5902" w14:textId="588CB38D" w:rsidR="004C5544" w:rsidRDefault="004C5544" w:rsidP="00954FFE">
      <w:pPr>
        <w:jc w:val="both"/>
        <w:rPr>
          <w:sz w:val="24"/>
        </w:rPr>
      </w:pPr>
      <w:r>
        <w:rPr>
          <w:sz w:val="24"/>
        </w:rPr>
        <w:t xml:space="preserve">PLENÁRIO DEPUTADO ¨NAGIB HAICKEL¨ DO PALÁCIO ¨MANUEL BECKMAN, DE </w:t>
      </w:r>
      <w:r w:rsidR="009F3113">
        <w:rPr>
          <w:sz w:val="24"/>
        </w:rPr>
        <w:t xml:space="preserve">MARÇO </w:t>
      </w:r>
      <w:r>
        <w:rPr>
          <w:sz w:val="24"/>
        </w:rPr>
        <w:t>DE 2026.</w:t>
      </w:r>
    </w:p>
    <w:p w14:paraId="4A5E406C" w14:textId="77777777" w:rsidR="00952689" w:rsidRDefault="00952689" w:rsidP="004C5544">
      <w:pPr>
        <w:jc w:val="both"/>
        <w:rPr>
          <w:sz w:val="24"/>
        </w:rPr>
      </w:pPr>
    </w:p>
    <w:p w14:paraId="3A9EEB53" w14:textId="77777777" w:rsidR="00876FA0" w:rsidRDefault="00876FA0" w:rsidP="00876FA0">
      <w:pPr>
        <w:jc w:val="center"/>
        <w:rPr>
          <w:b/>
          <w:sz w:val="24"/>
          <w:szCs w:val="48"/>
        </w:rPr>
      </w:pPr>
    </w:p>
    <w:p w14:paraId="61EE5BEB" w14:textId="77777777" w:rsidR="00876FA0" w:rsidRDefault="00876FA0" w:rsidP="00876FA0">
      <w:pPr>
        <w:jc w:val="center"/>
        <w:rPr>
          <w:b/>
          <w:sz w:val="24"/>
          <w:szCs w:val="48"/>
        </w:rPr>
      </w:pPr>
    </w:p>
    <w:p w14:paraId="65B24C3F" w14:textId="77777777" w:rsidR="00876FA0" w:rsidRDefault="00876FA0" w:rsidP="00876FA0">
      <w:pPr>
        <w:jc w:val="center"/>
        <w:rPr>
          <w:b/>
          <w:sz w:val="24"/>
          <w:szCs w:val="48"/>
        </w:rPr>
      </w:pPr>
    </w:p>
    <w:p w14:paraId="18CDE6EC" w14:textId="10494394" w:rsidR="00876FA0" w:rsidRPr="00876FA0" w:rsidRDefault="00876FA0" w:rsidP="00876FA0">
      <w:pPr>
        <w:jc w:val="center"/>
        <w:rPr>
          <w:b/>
          <w:sz w:val="24"/>
          <w:szCs w:val="48"/>
        </w:rPr>
      </w:pPr>
      <w:r w:rsidRPr="00876FA0">
        <w:rPr>
          <w:b/>
          <w:sz w:val="24"/>
          <w:szCs w:val="48"/>
        </w:rPr>
        <w:t xml:space="preserve">CLÁUDIO CUNHA </w:t>
      </w:r>
    </w:p>
    <w:p w14:paraId="6ECCB6AC" w14:textId="2E20A67B" w:rsidR="004C5544" w:rsidRPr="00876FA0" w:rsidRDefault="00876FA0" w:rsidP="00876FA0">
      <w:pPr>
        <w:jc w:val="center"/>
        <w:rPr>
          <w:b/>
          <w:sz w:val="24"/>
          <w:szCs w:val="48"/>
        </w:rPr>
      </w:pPr>
      <w:r w:rsidRPr="00876FA0">
        <w:rPr>
          <w:b/>
          <w:sz w:val="24"/>
          <w:szCs w:val="48"/>
        </w:rPr>
        <w:t>DEPUTADO ESTADO DO MARANHÃO</w:t>
      </w:r>
    </w:p>
    <w:p w14:paraId="285CAA80" w14:textId="585C5FAF" w:rsidR="006040BF" w:rsidRDefault="00D20DE1" w:rsidP="0089131A">
      <w:pPr>
        <w:pStyle w:val="SemEspaamento"/>
        <w:jc w:val="right"/>
        <w:rPr>
          <w:rFonts w:ascii="Arial" w:hAnsi="Arial" w:cs="Arial"/>
          <w:color w:val="000000" w:themeColor="text1"/>
          <w:sz w:val="24"/>
          <w:szCs w:val="24"/>
        </w:rPr>
      </w:pPr>
      <w:r>
        <w:rPr>
          <w:noProof/>
        </w:rPr>
        <w:drawing>
          <wp:inline distT="0" distB="0" distL="0" distR="0" wp14:anchorId="2F92957C" wp14:editId="1E702CC8">
            <wp:extent cx="953759" cy="441100"/>
            <wp:effectExtent l="0" t="0" r="0" b="0"/>
            <wp:docPr id="20675435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689" cy="451242"/>
                    </a:xfrm>
                    <a:prstGeom prst="rect">
                      <a:avLst/>
                    </a:prstGeom>
                    <a:noFill/>
                  </pic:spPr>
                </pic:pic>
              </a:graphicData>
            </a:graphic>
          </wp:inline>
        </w:drawing>
      </w:r>
      <w:r w:rsidR="009956D5" w:rsidRPr="009956D5">
        <w:rPr>
          <w:color w:val="000000" w:themeColor="text1"/>
          <w:sz w:val="24"/>
          <w:szCs w:val="24"/>
        </w:rPr>
        <w:t xml:space="preserve"> </w:t>
      </w:r>
    </w:p>
    <w:p w14:paraId="0605AA33" w14:textId="03A1B71B" w:rsidR="006040BF" w:rsidRDefault="009F3113" w:rsidP="006040BF">
      <w:pPr>
        <w:pStyle w:val="SemEspaamento"/>
        <w:spacing w:line="276" w:lineRule="auto"/>
        <w:jc w:val="center"/>
        <w:rPr>
          <w:rFonts w:ascii="Arial" w:hAnsi="Arial" w:cs="Arial"/>
          <w:color w:val="000000" w:themeColor="text1"/>
          <w:sz w:val="24"/>
          <w:szCs w:val="24"/>
        </w:rPr>
      </w:pPr>
      <w:r>
        <w:rPr>
          <w:noProof/>
          <w:lang w:eastAsia="pt-BR"/>
        </w:rPr>
        <mc:AlternateContent>
          <mc:Choice Requires="wps">
            <w:drawing>
              <wp:anchor distT="0" distB="0" distL="114300" distR="114300" simplePos="0" relativeHeight="487480832" behindDoc="0" locked="0" layoutInCell="1" allowOverlap="1" wp14:anchorId="14EA7342" wp14:editId="30E8F33B">
                <wp:simplePos x="0" y="0"/>
                <wp:positionH relativeFrom="margin">
                  <wp:posOffset>-464251</wp:posOffset>
                </wp:positionH>
                <wp:positionV relativeFrom="paragraph">
                  <wp:posOffset>112419</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9"/>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A7342" id="Retângulo 3" o:spid="_x0000_s1026" style="position:absolute;left:0;text-align:left;margin-left:-36.55pt;margin-top:8.85pt;width:216.85pt;height:94pt;z-index:48748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" filled="f" stroked="f" strokeweight="2pt">
                <v:textbo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9"/>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v:textbox>
                <w10:wrap anchorx="margin"/>
              </v:rect>
            </w:pict>
          </mc:Fallback>
        </mc:AlternateContent>
      </w:r>
    </w:p>
    <w:p w14:paraId="04E74516" w14:textId="6ACFB415" w:rsidR="004C5544" w:rsidRDefault="009F3113" w:rsidP="006F5F50">
      <w:pPr>
        <w:spacing w:before="159"/>
        <w:ind w:right="11"/>
        <w:jc w:val="center"/>
        <w:rPr>
          <w:rFonts w:eastAsia="Arial MT"/>
          <w:b/>
          <w:sz w:val="24"/>
          <w:szCs w:val="24"/>
        </w:rPr>
      </w:pPr>
      <w:r>
        <w:rPr>
          <w:rFonts w:eastAsia="Arial MT"/>
          <w:i/>
          <w:iCs/>
          <w:noProof/>
          <w:sz w:val="24"/>
          <w:szCs w:val="24"/>
        </w:rPr>
        <mc:AlternateContent>
          <mc:Choice Requires="wps">
            <w:drawing>
              <wp:anchor distT="0" distB="0" distL="114300" distR="114300" simplePos="0" relativeHeight="487490048" behindDoc="0" locked="0" layoutInCell="1" allowOverlap="1" wp14:anchorId="20C9FF7B" wp14:editId="061F16A6">
                <wp:simplePos x="0" y="0"/>
                <wp:positionH relativeFrom="column">
                  <wp:posOffset>690212</wp:posOffset>
                </wp:positionH>
                <wp:positionV relativeFrom="paragraph">
                  <wp:posOffset>241910</wp:posOffset>
                </wp:positionV>
                <wp:extent cx="1498600" cy="406400"/>
                <wp:effectExtent l="0" t="0" r="0" b="0"/>
                <wp:wrapNone/>
                <wp:docPr id="282938593"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1DCC23C3" w14:textId="77777777" w:rsidR="004C5544" w:rsidRPr="0003248E" w:rsidRDefault="004C5544" w:rsidP="004C5544">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C9FF7B" id="Retângulo 18" o:spid="_x0000_s1027" style="position:absolute;left:0;text-align:left;margin-left:54.35pt;margin-top:19.05pt;width:118pt;height:32pt;z-index:48749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" filled="f" stroked="f" strokeweight="2pt">
                <v:textbox>
                  <w:txbxContent>
                    <w:p w14:paraId="1DCC23C3" w14:textId="77777777" w:rsidR="004C5544" w:rsidRPr="0003248E" w:rsidRDefault="004C5544" w:rsidP="004C5544">
                      <w:pPr>
                        <w:jc w:val="center"/>
                        <w:rPr>
                          <w:sz w:val="12"/>
                          <w:szCs w:val="12"/>
                        </w:rPr>
                      </w:pPr>
                      <w:r w:rsidRPr="0003248E">
                        <w:rPr>
                          <w:sz w:val="12"/>
                          <w:szCs w:val="12"/>
                        </w:rPr>
                        <w:t>4 ´1 18 14 5 25   13 ´1 11 19 15 14</w:t>
                      </w:r>
                    </w:p>
                  </w:txbxContent>
                </v:textbox>
              </v:rect>
            </w:pict>
          </mc:Fallback>
        </mc:AlternateContent>
      </w:r>
    </w:p>
    <w:p w14:paraId="62379E4C" w14:textId="6CCB61E6" w:rsidR="004C5544" w:rsidRDefault="004C5544" w:rsidP="006F5F50">
      <w:pPr>
        <w:spacing w:before="159"/>
        <w:ind w:right="11"/>
        <w:jc w:val="center"/>
        <w:rPr>
          <w:rFonts w:eastAsia="Arial MT"/>
          <w:b/>
          <w:sz w:val="24"/>
          <w:szCs w:val="24"/>
        </w:rPr>
      </w:pPr>
    </w:p>
    <w:p w14:paraId="5A57294A" w14:textId="77777777" w:rsidR="0089131A" w:rsidRDefault="0089131A" w:rsidP="004C5544">
      <w:pPr>
        <w:jc w:val="center"/>
        <w:rPr>
          <w:b/>
          <w:sz w:val="24"/>
          <w:szCs w:val="24"/>
        </w:rPr>
      </w:pPr>
    </w:p>
    <w:p w14:paraId="5F0F4D4D" w14:textId="77777777" w:rsidR="0089131A" w:rsidRDefault="0089131A" w:rsidP="004C5544">
      <w:pPr>
        <w:jc w:val="center"/>
        <w:rPr>
          <w:b/>
          <w:sz w:val="24"/>
          <w:szCs w:val="24"/>
        </w:rPr>
      </w:pPr>
    </w:p>
    <w:p w14:paraId="74907DFB" w14:textId="77777777" w:rsidR="0089131A" w:rsidRDefault="0089131A" w:rsidP="004C5544">
      <w:pPr>
        <w:jc w:val="center"/>
        <w:rPr>
          <w:b/>
          <w:sz w:val="24"/>
          <w:szCs w:val="24"/>
        </w:rPr>
      </w:pPr>
    </w:p>
    <w:p w14:paraId="54DFB4F4" w14:textId="77777777" w:rsidR="009F3113" w:rsidRDefault="009F3113" w:rsidP="004C5544">
      <w:pPr>
        <w:jc w:val="center"/>
        <w:rPr>
          <w:b/>
          <w:sz w:val="24"/>
          <w:szCs w:val="24"/>
        </w:rPr>
      </w:pPr>
    </w:p>
    <w:p w14:paraId="68ECBB23" w14:textId="77777777" w:rsidR="009F3113" w:rsidRDefault="009F3113" w:rsidP="004C5544">
      <w:pPr>
        <w:jc w:val="center"/>
        <w:rPr>
          <w:b/>
          <w:sz w:val="24"/>
          <w:szCs w:val="24"/>
        </w:rPr>
      </w:pPr>
    </w:p>
    <w:p w14:paraId="52BBC480" w14:textId="77777777" w:rsidR="009F3113" w:rsidRDefault="009F3113" w:rsidP="004C5544">
      <w:pPr>
        <w:jc w:val="center"/>
        <w:rPr>
          <w:b/>
          <w:sz w:val="24"/>
          <w:szCs w:val="24"/>
        </w:rPr>
      </w:pPr>
    </w:p>
    <w:p w14:paraId="0838C557" w14:textId="77777777" w:rsidR="009F3113" w:rsidRDefault="009F3113" w:rsidP="004C5544">
      <w:pPr>
        <w:jc w:val="center"/>
        <w:rPr>
          <w:b/>
          <w:sz w:val="24"/>
          <w:szCs w:val="24"/>
        </w:rPr>
      </w:pPr>
    </w:p>
    <w:p w14:paraId="20A61458" w14:textId="77777777" w:rsidR="009F3113" w:rsidRDefault="009F3113" w:rsidP="004C5544">
      <w:pPr>
        <w:jc w:val="center"/>
        <w:rPr>
          <w:b/>
          <w:sz w:val="24"/>
          <w:szCs w:val="24"/>
        </w:rPr>
      </w:pPr>
    </w:p>
    <w:p w14:paraId="77D9A124" w14:textId="77777777" w:rsidR="009F3113" w:rsidRDefault="009F3113" w:rsidP="004C5544">
      <w:pPr>
        <w:jc w:val="center"/>
        <w:rPr>
          <w:b/>
          <w:sz w:val="24"/>
          <w:szCs w:val="24"/>
        </w:rPr>
      </w:pPr>
    </w:p>
    <w:p w14:paraId="10051B64" w14:textId="77777777" w:rsidR="009F3113" w:rsidRDefault="009F3113" w:rsidP="004C5544">
      <w:pPr>
        <w:jc w:val="center"/>
        <w:rPr>
          <w:b/>
          <w:sz w:val="24"/>
          <w:szCs w:val="24"/>
        </w:rPr>
      </w:pPr>
    </w:p>
    <w:p w14:paraId="11A64E29" w14:textId="77777777" w:rsidR="009F3113" w:rsidRDefault="009F3113" w:rsidP="004C5544">
      <w:pPr>
        <w:jc w:val="center"/>
        <w:rPr>
          <w:b/>
          <w:sz w:val="24"/>
          <w:szCs w:val="24"/>
        </w:rPr>
      </w:pPr>
    </w:p>
    <w:p w14:paraId="14E464E4" w14:textId="77777777" w:rsidR="009F3113" w:rsidRDefault="009F3113" w:rsidP="004C5544">
      <w:pPr>
        <w:jc w:val="center"/>
        <w:rPr>
          <w:b/>
          <w:sz w:val="24"/>
          <w:szCs w:val="24"/>
        </w:rPr>
      </w:pPr>
    </w:p>
    <w:p w14:paraId="112E2C87" w14:textId="77777777" w:rsidR="009F3113" w:rsidRDefault="009F3113" w:rsidP="004C5544">
      <w:pPr>
        <w:jc w:val="center"/>
        <w:rPr>
          <w:b/>
          <w:sz w:val="24"/>
          <w:szCs w:val="24"/>
        </w:rPr>
      </w:pPr>
    </w:p>
    <w:p w14:paraId="438EE650" w14:textId="77777777" w:rsidR="009F3113" w:rsidRDefault="009F3113" w:rsidP="004C5544">
      <w:pPr>
        <w:jc w:val="center"/>
        <w:rPr>
          <w:b/>
          <w:sz w:val="24"/>
          <w:szCs w:val="24"/>
        </w:rPr>
      </w:pPr>
    </w:p>
    <w:p w14:paraId="47F9C397" w14:textId="77777777" w:rsidR="009F3113" w:rsidRDefault="009F3113" w:rsidP="004C5544">
      <w:pPr>
        <w:jc w:val="center"/>
        <w:rPr>
          <w:b/>
          <w:sz w:val="24"/>
          <w:szCs w:val="24"/>
        </w:rPr>
      </w:pPr>
    </w:p>
    <w:p w14:paraId="2026AC1D" w14:textId="77777777" w:rsidR="009F3113" w:rsidRDefault="009F3113" w:rsidP="004C5544">
      <w:pPr>
        <w:jc w:val="center"/>
        <w:rPr>
          <w:b/>
          <w:sz w:val="24"/>
          <w:szCs w:val="24"/>
        </w:rPr>
      </w:pPr>
    </w:p>
    <w:p w14:paraId="1B0302DD" w14:textId="77777777" w:rsidR="009F3113" w:rsidRDefault="009F3113" w:rsidP="004C5544">
      <w:pPr>
        <w:jc w:val="center"/>
        <w:rPr>
          <w:b/>
          <w:sz w:val="24"/>
          <w:szCs w:val="24"/>
        </w:rPr>
      </w:pPr>
    </w:p>
    <w:p w14:paraId="34B9BD5B" w14:textId="77777777" w:rsidR="009F3113" w:rsidRDefault="009F3113" w:rsidP="004C5544">
      <w:pPr>
        <w:jc w:val="center"/>
        <w:rPr>
          <w:b/>
          <w:sz w:val="24"/>
          <w:szCs w:val="24"/>
        </w:rPr>
      </w:pPr>
    </w:p>
    <w:p w14:paraId="6492F63C" w14:textId="77777777" w:rsidR="009F3113" w:rsidRDefault="009F3113" w:rsidP="004C5544">
      <w:pPr>
        <w:jc w:val="center"/>
        <w:rPr>
          <w:b/>
          <w:sz w:val="24"/>
          <w:szCs w:val="24"/>
        </w:rPr>
      </w:pPr>
    </w:p>
    <w:p w14:paraId="07ADE79D" w14:textId="36CFFFBE" w:rsidR="004C5544" w:rsidRDefault="004C5544" w:rsidP="004C5544">
      <w:pPr>
        <w:jc w:val="center"/>
        <w:rPr>
          <w:b/>
          <w:sz w:val="24"/>
          <w:szCs w:val="24"/>
        </w:rPr>
      </w:pPr>
      <w:r w:rsidRPr="00C8151B">
        <w:rPr>
          <w:b/>
          <w:sz w:val="24"/>
          <w:szCs w:val="24"/>
        </w:rPr>
        <w:t>JUSTIFICATIVA</w:t>
      </w:r>
    </w:p>
    <w:p w14:paraId="15CCE664" w14:textId="0EB50C26" w:rsidR="00CA1604" w:rsidRDefault="00CA1604" w:rsidP="00CA1604">
      <w:pPr>
        <w:spacing w:before="159"/>
        <w:ind w:right="11"/>
        <w:rPr>
          <w:rFonts w:eastAsiaTheme="minorHAnsi"/>
          <w:sz w:val="24"/>
          <w:szCs w:val="24"/>
          <w:lang w:val="pt-BR"/>
        </w:rPr>
      </w:pPr>
      <w:r w:rsidRPr="00CA1604">
        <w:rPr>
          <w:rFonts w:eastAsiaTheme="minorHAnsi"/>
          <w:sz w:val="24"/>
          <w:szCs w:val="24"/>
          <w:lang w:val="pt-BR"/>
        </w:rPr>
        <w:t xml:space="preserve">Senhores (as) Deputados (as), </w:t>
      </w:r>
    </w:p>
    <w:p w14:paraId="76FBDB94" w14:textId="43B894FA" w:rsidR="00876FA0" w:rsidRDefault="00876FA0" w:rsidP="00876FA0">
      <w:pPr>
        <w:spacing w:before="159"/>
        <w:ind w:right="11"/>
        <w:jc w:val="both"/>
        <w:rPr>
          <w:rFonts w:eastAsiaTheme="minorHAnsi"/>
          <w:sz w:val="24"/>
          <w:szCs w:val="24"/>
          <w:lang w:val="pt-BR"/>
        </w:rPr>
      </w:pPr>
      <w:r>
        <w:rPr>
          <w:rFonts w:eastAsiaTheme="minorHAnsi"/>
          <w:sz w:val="24"/>
          <w:szCs w:val="24"/>
          <w:lang w:val="pt-BR"/>
        </w:rPr>
        <w:t xml:space="preserve">O presente projeto </w:t>
      </w:r>
      <w:r w:rsidRPr="00876FA0">
        <w:rPr>
          <w:rFonts w:eastAsiaTheme="minorHAnsi"/>
          <w:sz w:val="24"/>
          <w:szCs w:val="24"/>
          <w:lang w:val="pt-BR"/>
        </w:rPr>
        <w:t>Lei estabelece diretrizes para o atendimento humanizado e especializado às pessoas com Transtorno do Espectro Autista (TEA) em situação de abordagem policial, transporte institucional e privação de liberdade no Estado do Maranhão</w:t>
      </w:r>
      <w:r>
        <w:rPr>
          <w:rFonts w:eastAsiaTheme="minorHAnsi"/>
          <w:sz w:val="24"/>
          <w:szCs w:val="24"/>
          <w:lang w:val="pt-BR"/>
        </w:rPr>
        <w:t xml:space="preserve">, com uma </w:t>
      </w:r>
      <w:r w:rsidRPr="00876FA0">
        <w:rPr>
          <w:rFonts w:eastAsiaTheme="minorHAnsi"/>
          <w:sz w:val="24"/>
          <w:szCs w:val="24"/>
          <w:lang w:val="pt-BR"/>
        </w:rPr>
        <w:t>comunicação alternativa no atendimento policial a pessoas com Transtorno do Espectro Autista (TEA), abrangendo desde a etapa de identificação do autista até a abordagem, a busca pessoal e, consequentemente, resultando em um atendimento humanizado. Considera-se que o atendimento a essa população deva ser isonômico e equitativo, tendo como orientação final o gerenciamento de eventuais crises, as quais precisam ser manejadas com respeito à dignidade da pessoa humana e exigem preparação diferenciada dos policiais militares, ressaltando a comunicação alternativa como um pilar para um resultado satisfatório. O TEA refere-se a uma série de condições caracterizadas por algum grau de comprometimento no comportamento social, na comunicação e na linguagem. O objetivo deste levantamento é conceituar e explorar o TEA, bem como as abordagens orientadas para o atendimento policial a pessoas com o transtorno, visando contribuir para a promoção de práticas mais inclusivas, que estejam em consonância com a legislação vigente. Para o desenvolvimento do estudo, foi realizado um levantamento bibliográfico e documental, incluindo artigos selecionados para análise que abrangem especificamente o TEA, o atendimento policial, a abordagem e a busca pessoal. Foram identificados os aspectos conceituais e a caracterização do TEA, bem como o atendimento policial às pessoas com o transtorno, observando-se procedimentos e orientações sobre as nuances da comunicação alternativa no atendimento policial.</w:t>
      </w:r>
    </w:p>
    <w:p w14:paraId="50835451" w14:textId="4390DC54" w:rsidR="00876FA0" w:rsidRDefault="00876FA0" w:rsidP="00876FA0">
      <w:pPr>
        <w:spacing w:before="159"/>
        <w:ind w:right="11"/>
        <w:jc w:val="both"/>
        <w:rPr>
          <w:rFonts w:eastAsiaTheme="minorHAnsi"/>
          <w:sz w:val="24"/>
          <w:szCs w:val="24"/>
          <w:lang w:val="pt-BR"/>
        </w:rPr>
      </w:pPr>
      <w:r>
        <w:rPr>
          <w:rFonts w:eastAsiaTheme="minorHAnsi"/>
          <w:sz w:val="24"/>
          <w:szCs w:val="24"/>
          <w:lang w:val="pt-BR"/>
        </w:rPr>
        <w:t xml:space="preserve">A </w:t>
      </w:r>
      <w:r w:rsidRPr="00876FA0">
        <w:rPr>
          <w:rFonts w:eastAsiaTheme="minorHAnsi"/>
          <w:sz w:val="24"/>
          <w:szCs w:val="24"/>
          <w:lang w:val="pt-BR"/>
        </w:rPr>
        <w:t xml:space="preserve">capacitação da Polícia Militar para o atendimento de ocorrências envolvendo pessoas </w:t>
      </w:r>
      <w:r w:rsidRPr="00876FA0">
        <w:rPr>
          <w:rFonts w:eastAsiaTheme="minorHAnsi"/>
          <w:sz w:val="24"/>
          <w:szCs w:val="24"/>
          <w:lang w:val="pt-BR"/>
        </w:rPr>
        <w:lastRenderedPageBreak/>
        <w:t>com Transtorno do Espectro Autista (TEA), identificando possibilidades e propostas para aprimoramento contínuo. Dentro deste enfoque, traz em seu bojo um panorama conceitual acerca do transtorno, evidenciando as suas características e a diversidade do TEA, além de enfatizar a perspectiva da neurodiversidade e a necessidade de abordagens personalizadas. Aliado a isso, examina o atendimento policial a pessoas em situação de vulnerabilidade, a legislação brasileira e os protocolos internacionais aplicáveis, como leis de inclusão, uso proporcional da força e direitos humanos, apresentando um panorama da formação policial no Brasil. Ainda, enaltece algumas experiências vivenciadas pela Polícia Militar, e ações de capacitação específicas, como campanhas de conscientização e seminários. Ao final propõe a realização de capacitação contínua estruturada em módulos temáticos, metodologias ativas, integração interinstitucional, uso de ensino a distância, monitoramento e avaliação constantes, com foco em comunicação adaptada, técnicas de desescalada e conhecimento legislativo.</w:t>
      </w:r>
    </w:p>
    <w:p w14:paraId="5A5520EE" w14:textId="77777777" w:rsidR="00876FA0" w:rsidRDefault="00876FA0" w:rsidP="00876FA0">
      <w:pPr>
        <w:spacing w:before="159"/>
        <w:ind w:right="11"/>
        <w:jc w:val="both"/>
        <w:rPr>
          <w:rFonts w:eastAsiaTheme="minorHAnsi"/>
          <w:sz w:val="24"/>
          <w:szCs w:val="24"/>
          <w:lang w:val="pt-BR"/>
        </w:rPr>
      </w:pPr>
    </w:p>
    <w:p w14:paraId="76A078D2" w14:textId="740E936E" w:rsidR="004C5544" w:rsidRDefault="00876FA0" w:rsidP="00876FA0">
      <w:pPr>
        <w:spacing w:before="159"/>
        <w:ind w:right="11"/>
        <w:jc w:val="both"/>
        <w:rPr>
          <w:b/>
          <w:sz w:val="24"/>
          <w:szCs w:val="24"/>
        </w:rPr>
      </w:pPr>
      <w:r w:rsidRPr="00876FA0">
        <w:rPr>
          <w:rFonts w:eastAsiaTheme="minorHAnsi"/>
          <w:sz w:val="24"/>
          <w:szCs w:val="24"/>
          <w:lang w:val="pt-BR"/>
        </w:rPr>
        <w:t>O atendimento policial a pessoas com Transtorno do Espectro Autista (TEA) representa um desafio para as forças de segurança pública, exigindo preparo técnico, sensibilidade e conhecimento especializado e, desta forma, em um contexto social cada vez mais plural e consciente da importância da inclusão, a atuação do policial militar deve ir além do cumprimento estrito da lei, incorporando princípios de direitos humanos, comunicação adaptada e estratégias de desescalada, um conceito baseado em um conjunto de técnicas de comunicação e comportamentais usadas para reduzir a intensidade de um conflito ou uma situação tensa, evitando a escalada para agressões físicas ou verbais. No Brasil, embora existam marcos legais e normativos que orientem a abordagem a grupos vulneráveis, ainda persistem lacunas na formação e capacitação contínua voltada ao atendimento de indivíduos com TEA, o que pode comprometer a efetividade e a segurança das ações policiais.</w:t>
      </w:r>
    </w:p>
    <w:p w14:paraId="2B50EA9A" w14:textId="77777777" w:rsidR="0089131A" w:rsidRPr="00BE1471" w:rsidRDefault="0089131A" w:rsidP="0089131A">
      <w:pPr>
        <w:ind w:firstLine="1701"/>
        <w:jc w:val="both"/>
        <w:rPr>
          <w:sz w:val="24"/>
          <w:szCs w:val="24"/>
        </w:rPr>
      </w:pPr>
      <w:r w:rsidRPr="00BE1471">
        <w:rPr>
          <w:sz w:val="24"/>
          <w:szCs w:val="24"/>
        </w:rPr>
        <w:t>Diante de todo o exposto, essas são as razões, de relevante interesse social, que justificam a proposição do presente Projeto de Lei em favor da população maranhense, que ora submeto à elevada apreciação dos Excelentíssimos e nobres Membros desta Egrégia Casa Legislativa.</w:t>
      </w:r>
    </w:p>
    <w:p w14:paraId="34FED1D9" w14:textId="214E3D5F" w:rsidR="009F3113" w:rsidRDefault="009F3113" w:rsidP="0089131A">
      <w:pPr>
        <w:jc w:val="center"/>
        <w:rPr>
          <w:b/>
          <w:noProof/>
          <w:sz w:val="24"/>
          <w:szCs w:val="24"/>
        </w:rPr>
      </w:pPr>
    </w:p>
    <w:p w14:paraId="76B65D55" w14:textId="2EC54215" w:rsidR="004C5544" w:rsidRDefault="004C5544" w:rsidP="0089131A">
      <w:pPr>
        <w:jc w:val="center"/>
        <w:rPr>
          <w:b/>
          <w:sz w:val="24"/>
          <w:szCs w:val="24"/>
        </w:rPr>
      </w:pPr>
    </w:p>
    <w:p w14:paraId="71362FB6" w14:textId="77777777" w:rsidR="00876FA0" w:rsidRDefault="00876FA0" w:rsidP="0089131A">
      <w:pPr>
        <w:jc w:val="center"/>
        <w:rPr>
          <w:b/>
          <w:sz w:val="24"/>
          <w:szCs w:val="24"/>
        </w:rPr>
      </w:pPr>
    </w:p>
    <w:p w14:paraId="71FAEC5C" w14:textId="77777777" w:rsidR="00876FA0" w:rsidRDefault="00876FA0" w:rsidP="0089131A">
      <w:pPr>
        <w:jc w:val="center"/>
        <w:rPr>
          <w:b/>
          <w:sz w:val="24"/>
          <w:szCs w:val="24"/>
        </w:rPr>
      </w:pPr>
    </w:p>
    <w:p w14:paraId="3BF5CAEA" w14:textId="70FADDAC" w:rsidR="00876FA0" w:rsidRDefault="00876FA0" w:rsidP="0089131A">
      <w:pPr>
        <w:jc w:val="center"/>
        <w:rPr>
          <w:b/>
          <w:sz w:val="24"/>
          <w:szCs w:val="24"/>
        </w:rPr>
      </w:pPr>
    </w:p>
    <w:p w14:paraId="6725FE80" w14:textId="001B06A2" w:rsidR="00876FA0" w:rsidRDefault="00876FA0" w:rsidP="0089131A">
      <w:pPr>
        <w:jc w:val="center"/>
        <w:rPr>
          <w:b/>
          <w:sz w:val="24"/>
          <w:szCs w:val="24"/>
        </w:rPr>
      </w:pPr>
    </w:p>
    <w:p w14:paraId="46357D51" w14:textId="51952AAB" w:rsidR="009F3113" w:rsidRDefault="00EF345B" w:rsidP="0089131A">
      <w:pPr>
        <w:jc w:val="center"/>
        <w:rPr>
          <w:b/>
          <w:sz w:val="24"/>
          <w:szCs w:val="24"/>
        </w:rPr>
      </w:pPr>
      <w:r>
        <w:rPr>
          <w:noProof/>
          <w:lang w:eastAsia="pt-BR"/>
        </w:rPr>
        <mc:AlternateContent>
          <mc:Choice Requires="wps">
            <w:drawing>
              <wp:anchor distT="0" distB="0" distL="114300" distR="114300" simplePos="0" relativeHeight="487486976" behindDoc="0" locked="0" layoutInCell="1" allowOverlap="1" wp14:anchorId="1245E11B" wp14:editId="51A3C13D">
                <wp:simplePos x="0" y="0"/>
                <wp:positionH relativeFrom="margin">
                  <wp:posOffset>-284034</wp:posOffset>
                </wp:positionH>
                <wp:positionV relativeFrom="paragraph">
                  <wp:posOffset>178716</wp:posOffset>
                </wp:positionV>
                <wp:extent cx="2753957" cy="1193896"/>
                <wp:effectExtent l="0" t="0" r="0" b="0"/>
                <wp:wrapNone/>
                <wp:docPr id="1381279202"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25400" cap="flat" cmpd="sng" algn="ctr">
                          <a:noFill/>
                          <a:prstDash val="solid"/>
                        </a:ln>
                        <a:effectLst/>
                      </wps:spPr>
                      <wps:txbx>
                        <w:txbxContent>
                          <w:p w14:paraId="4F450C28" w14:textId="77777777" w:rsidR="004C5544" w:rsidRDefault="004C5544" w:rsidP="004C5544">
                            <w:pPr>
                              <w:jc w:val="center"/>
                            </w:pPr>
                            <w:r w:rsidRPr="00763F6A">
                              <w:rPr>
                                <w:noProof/>
                              </w:rPr>
                              <w:drawing>
                                <wp:inline distT="0" distB="0" distL="0" distR="0" wp14:anchorId="58113092" wp14:editId="26813153">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9"/>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454E004A" wp14:editId="5C6DE721">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6F03CEA" w14:textId="77777777" w:rsidR="004C5544" w:rsidRPr="00763F6A" w:rsidRDefault="004C5544" w:rsidP="004C5544">
                            <w:pPr>
                              <w:rPr>
                                <w:color w:val="000000" w:themeColor="text1"/>
                              </w:rPr>
                            </w:pPr>
                            <w:r>
                              <w:rPr>
                                <w:color w:val="000000" w:themeColor="text1"/>
                              </w:rPr>
                              <w:t xml:space="preserve">   </w:t>
                            </w:r>
                            <w:r w:rsidRPr="00763F6A">
                              <w:rPr>
                                <w:color w:val="000000" w:themeColor="text1"/>
                              </w:rPr>
                              <w:t xml:space="preserve">Acesse nossas redes sociais </w:t>
                            </w:r>
                          </w:p>
                          <w:p w14:paraId="695DA370" w14:textId="77777777" w:rsidR="004C5544" w:rsidRDefault="004C5544" w:rsidP="004C55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5E11B" id="_x0000_s1028" style="position:absolute;left:0;text-align:left;margin-left:-22.35pt;margin-top:14.05pt;width:216.85pt;height:94pt;z-index:48748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" filled="f" stroked="f" strokeweight="2pt">
                <v:textbox>
                  <w:txbxContent>
                    <w:p w14:paraId="4F450C28" w14:textId="77777777" w:rsidR="004C5544" w:rsidRDefault="004C5544" w:rsidP="004C5544">
                      <w:pPr>
                        <w:jc w:val="center"/>
                      </w:pPr>
                      <w:r w:rsidRPr="00763F6A">
                        <w:rPr>
                          <w:noProof/>
                        </w:rPr>
                        <w:drawing>
                          <wp:inline distT="0" distB="0" distL="0" distR="0" wp14:anchorId="58113092" wp14:editId="26813153">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9"/>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454E004A" wp14:editId="5C6DE721">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6F03CEA" w14:textId="77777777" w:rsidR="004C5544" w:rsidRPr="00763F6A" w:rsidRDefault="004C5544" w:rsidP="004C5544">
                      <w:pPr>
                        <w:rPr>
                          <w:color w:val="000000" w:themeColor="text1"/>
                        </w:rPr>
                      </w:pPr>
                      <w:r>
                        <w:rPr>
                          <w:color w:val="000000" w:themeColor="text1"/>
                        </w:rPr>
                        <w:t xml:space="preserve">   </w:t>
                      </w:r>
                      <w:r w:rsidRPr="00763F6A">
                        <w:rPr>
                          <w:color w:val="000000" w:themeColor="text1"/>
                        </w:rPr>
                        <w:t xml:space="preserve">Acesse nossas redes sociais </w:t>
                      </w:r>
                    </w:p>
                    <w:p w14:paraId="695DA370" w14:textId="77777777" w:rsidR="004C5544" w:rsidRDefault="004C5544" w:rsidP="004C5544">
                      <w:pPr>
                        <w:jc w:val="center"/>
                      </w:pPr>
                    </w:p>
                  </w:txbxContent>
                </v:textbox>
                <w10:wrap anchorx="margin"/>
              </v:rect>
            </w:pict>
          </mc:Fallback>
        </mc:AlternateContent>
      </w:r>
      <w:r w:rsidR="00876FA0">
        <w:rPr>
          <w:b/>
          <w:sz w:val="24"/>
          <w:szCs w:val="24"/>
        </w:rPr>
        <w:t xml:space="preserve">CLÁUDIO CUNHA </w:t>
      </w:r>
    </w:p>
    <w:p w14:paraId="48DE4B7F" w14:textId="0828F49F" w:rsidR="00876FA0" w:rsidRDefault="00876FA0" w:rsidP="0089131A">
      <w:pPr>
        <w:jc w:val="center"/>
        <w:rPr>
          <w:b/>
          <w:sz w:val="24"/>
          <w:szCs w:val="24"/>
        </w:rPr>
      </w:pPr>
      <w:r>
        <w:rPr>
          <w:b/>
          <w:sz w:val="24"/>
          <w:szCs w:val="24"/>
        </w:rPr>
        <w:t xml:space="preserve">DEPUTADO ESTADO DO MARANHÃO </w:t>
      </w:r>
    </w:p>
    <w:p w14:paraId="0BB2F157" w14:textId="3D86BE0D" w:rsidR="009F3113" w:rsidRDefault="00876FA0" w:rsidP="0089131A">
      <w:pPr>
        <w:jc w:val="center"/>
        <w:rPr>
          <w:b/>
          <w:sz w:val="24"/>
          <w:szCs w:val="24"/>
        </w:rPr>
      </w:pPr>
      <w:r>
        <w:rPr>
          <w:rFonts w:eastAsia="Arial MT"/>
          <w:i/>
          <w:iCs/>
          <w:noProof/>
          <w:sz w:val="24"/>
          <w:szCs w:val="24"/>
        </w:rPr>
        <mc:AlternateContent>
          <mc:Choice Requires="wps">
            <w:drawing>
              <wp:anchor distT="0" distB="0" distL="114300" distR="114300" simplePos="0" relativeHeight="487488000" behindDoc="0" locked="0" layoutInCell="1" allowOverlap="1" wp14:anchorId="3D229B71" wp14:editId="5B20C00D">
                <wp:simplePos x="0" y="0"/>
                <wp:positionH relativeFrom="column">
                  <wp:posOffset>897890</wp:posOffset>
                </wp:positionH>
                <wp:positionV relativeFrom="paragraph">
                  <wp:posOffset>160589</wp:posOffset>
                </wp:positionV>
                <wp:extent cx="1498600" cy="406400"/>
                <wp:effectExtent l="0" t="0" r="0" b="0"/>
                <wp:wrapNone/>
                <wp:docPr id="913278704"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7F48CB6E" w14:textId="77777777" w:rsidR="004C5544" w:rsidRPr="0003248E" w:rsidRDefault="004C5544" w:rsidP="004C5544">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229B71" id="_x0000_s1029" style="position:absolute;left:0;text-align:left;margin-left:70.7pt;margin-top:12.65pt;width:118pt;height:32pt;z-index:48748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" filled="f" stroked="f" strokeweight="2pt">
                <v:textbox>
                  <w:txbxContent>
                    <w:p w14:paraId="7F48CB6E" w14:textId="77777777" w:rsidR="004C5544" w:rsidRPr="0003248E" w:rsidRDefault="004C5544" w:rsidP="004C5544">
                      <w:pPr>
                        <w:jc w:val="center"/>
                        <w:rPr>
                          <w:sz w:val="12"/>
                          <w:szCs w:val="12"/>
                        </w:rPr>
                      </w:pPr>
                      <w:r w:rsidRPr="0003248E">
                        <w:rPr>
                          <w:sz w:val="12"/>
                          <w:szCs w:val="12"/>
                        </w:rPr>
                        <w:t>4 ´1 18 14 5 25   13 ´1 11 19 15 14</w:t>
                      </w:r>
                    </w:p>
                  </w:txbxContent>
                </v:textbox>
              </v:rect>
            </w:pict>
          </mc:Fallback>
        </mc:AlternateContent>
      </w:r>
    </w:p>
    <w:p w14:paraId="1113A9F4" w14:textId="18450662" w:rsidR="004C5544" w:rsidRDefault="004C5544" w:rsidP="0089131A">
      <w:pPr>
        <w:jc w:val="center"/>
        <w:rPr>
          <w:color w:val="000000" w:themeColor="text1"/>
          <w:sz w:val="24"/>
          <w:szCs w:val="24"/>
        </w:rPr>
      </w:pPr>
    </w:p>
    <w:p w14:paraId="44AA5523" w14:textId="23A2F466" w:rsidR="006F5F50" w:rsidRPr="006B2BBA" w:rsidRDefault="004C5544" w:rsidP="0089131A">
      <w:pPr>
        <w:pStyle w:val="SemEspaamento"/>
        <w:spacing w:line="276" w:lineRule="auto"/>
        <w:jc w:val="right"/>
        <w:rPr>
          <w:rFonts w:eastAsia="Arial MT"/>
          <w:b/>
          <w:bCs/>
          <w:sz w:val="24"/>
          <w:szCs w:val="24"/>
        </w:rPr>
      </w:pPr>
      <w:r>
        <w:rPr>
          <w:noProof/>
        </w:rPr>
        <w:drawing>
          <wp:inline distT="0" distB="0" distL="0" distR="0" wp14:anchorId="0EEA1E6E" wp14:editId="469E21E0">
            <wp:extent cx="953759" cy="441100"/>
            <wp:effectExtent l="0" t="0" r="0" b="0"/>
            <wp:docPr id="5459270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689" cy="451242"/>
                    </a:xfrm>
                    <a:prstGeom prst="rect">
                      <a:avLst/>
                    </a:prstGeom>
                    <a:noFill/>
                  </pic:spPr>
                </pic:pic>
              </a:graphicData>
            </a:graphic>
          </wp:inline>
        </w:drawing>
      </w:r>
      <w:r w:rsidRPr="009956D5">
        <w:rPr>
          <w:color w:val="000000" w:themeColor="text1"/>
          <w:sz w:val="24"/>
          <w:szCs w:val="24"/>
        </w:rPr>
        <w:t xml:space="preserve"> </w:t>
      </w:r>
    </w:p>
    <w:sectPr w:rsidR="006F5F50" w:rsidRPr="006B2BBA" w:rsidSect="008B4D3E">
      <w:headerReference w:type="default" r:id="rId11"/>
      <w:footerReference w:type="default" r:id="rId12"/>
      <w:pgSz w:w="11910" w:h="16840"/>
      <w:pgMar w:top="2860" w:right="995" w:bottom="1640" w:left="1418" w:header="284" w:footer="14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CC589" w14:textId="77777777" w:rsidR="00BD4DEB" w:rsidRDefault="00BD4DEB">
      <w:r>
        <w:separator/>
      </w:r>
    </w:p>
  </w:endnote>
  <w:endnote w:type="continuationSeparator" w:id="0">
    <w:p w14:paraId="3768331B" w14:textId="77777777" w:rsidR="00BD4DEB" w:rsidRDefault="00BD4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E0CF" w14:textId="77777777" w:rsidR="00F31213" w:rsidRDefault="00CD18F3">
    <w:pPr>
      <w:pStyle w:val="Corpodetexto"/>
      <w:spacing w:line="14" w:lineRule="auto"/>
      <w:rPr>
        <w:sz w:val="20"/>
      </w:rPr>
    </w:pPr>
    <w:r>
      <w:rPr>
        <w:noProof/>
        <w:lang w:val="pt-BR" w:eastAsia="pt-BR"/>
      </w:rPr>
      <mc:AlternateContent>
        <mc:Choice Requires="wps">
          <w:drawing>
            <wp:anchor distT="0" distB="0" distL="114300" distR="114300" simplePos="0" relativeHeight="487463424" behindDoc="1" locked="0" layoutInCell="1" allowOverlap="1" wp14:anchorId="176BB040" wp14:editId="19554E23">
              <wp:simplePos x="0" y="0"/>
              <wp:positionH relativeFrom="page">
                <wp:posOffset>866830</wp:posOffset>
              </wp:positionH>
              <wp:positionV relativeFrom="page">
                <wp:posOffset>9635556</wp:posOffset>
              </wp:positionV>
              <wp:extent cx="5962099" cy="803404"/>
              <wp:effectExtent l="0" t="0" r="635" b="15875"/>
              <wp:wrapNone/>
              <wp:docPr id="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099" cy="803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1"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2"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BB040" id="_x0000_t202" coordsize="21600,21600" o:spt="202" path="m,l,21600r21600,l21600,xe">
              <v:stroke joinstyle="miter"/>
              <v:path gradientshapeok="t" o:connecttype="rect"/>
            </v:shapetype>
            <v:shape id="docshape12" o:spid="_x0000_s1032" type="#_x0000_t202" style="position:absolute;margin-left:68.25pt;margin-top:758.7pt;width:469.45pt;height:63.25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" filled="f" stroked="f">
              <v:textbox inset="0,0,0,0">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4"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5"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4914B" w14:textId="77777777" w:rsidR="00BD4DEB" w:rsidRDefault="00BD4DEB">
      <w:r>
        <w:separator/>
      </w:r>
    </w:p>
  </w:footnote>
  <w:footnote w:type="continuationSeparator" w:id="0">
    <w:p w14:paraId="38AA6BB8" w14:textId="77777777" w:rsidR="00BD4DEB" w:rsidRDefault="00BD4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CC05" w14:textId="2D35D378" w:rsidR="00F31213" w:rsidRDefault="000108F4">
    <w:pPr>
      <w:pStyle w:val="Corpodetexto"/>
      <w:spacing w:line="14" w:lineRule="auto"/>
      <w:rPr>
        <w:sz w:val="20"/>
      </w:rPr>
    </w:pPr>
    <w:r>
      <w:rPr>
        <w:noProof/>
        <w:lang w:val="pt-BR" w:eastAsia="pt-BR"/>
      </w:rPr>
      <mc:AlternateContent>
        <mc:Choice Requires="wps">
          <w:drawing>
            <wp:anchor distT="0" distB="0" distL="114300" distR="114300" simplePos="0" relativeHeight="487462912" behindDoc="1" locked="0" layoutInCell="1" allowOverlap="1" wp14:anchorId="764EB655" wp14:editId="5B8E059A">
              <wp:simplePos x="0" y="0"/>
              <wp:positionH relativeFrom="page">
                <wp:posOffset>1130300</wp:posOffset>
              </wp:positionH>
              <wp:positionV relativeFrom="topMargin">
                <wp:align>bottom</wp:align>
              </wp:positionV>
              <wp:extent cx="5543550" cy="895350"/>
              <wp:effectExtent l="0" t="0" r="0" b="0"/>
              <wp:wrapNone/>
              <wp:docPr id="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EB655" id="_x0000_t202" coordsize="21600,21600" o:spt="202" path="m,l,21600r21600,l21600,xe">
              <v:stroke joinstyle="miter"/>
              <v:path gradientshapeok="t" o:connecttype="rect"/>
            </v:shapetype>
            <v:shape id="docshape11" o:spid="_x0000_s1030" type="#_x0000_t202" style="position:absolute;margin-left:89pt;margin-top:0;width:436.5pt;height:70.5pt;z-index:-1585356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" filled="f" stroked="f">
              <v:textbox inset="0,0,0,0">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v:textbox>
              <w10:wrap anchorx="page" anchory="margin"/>
            </v:shape>
          </w:pict>
        </mc:Fallback>
      </mc:AlternateContent>
    </w:r>
    <w:r w:rsidR="00BA7E4B">
      <w:rPr>
        <w:noProof/>
        <w:lang w:val="pt-BR" w:eastAsia="pt-BR"/>
      </w:rPr>
      <w:drawing>
        <wp:anchor distT="0" distB="0" distL="0" distR="0" simplePos="0" relativeHeight="487461888" behindDoc="1" locked="0" layoutInCell="1" allowOverlap="1" wp14:anchorId="10DBD835" wp14:editId="2248000B">
          <wp:simplePos x="0" y="0"/>
          <wp:positionH relativeFrom="page">
            <wp:posOffset>3646842</wp:posOffset>
          </wp:positionH>
          <wp:positionV relativeFrom="page">
            <wp:posOffset>268940</wp:posOffset>
          </wp:positionV>
          <wp:extent cx="688975" cy="624765"/>
          <wp:effectExtent l="0" t="0" r="0" b="4445"/>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1968" cy="627479"/>
                  </a:xfrm>
                  <a:prstGeom prst="rect">
                    <a:avLst/>
                  </a:prstGeom>
                </pic:spPr>
              </pic:pic>
            </a:graphicData>
          </a:graphic>
          <wp14:sizeRelH relativeFrom="margin">
            <wp14:pctWidth>0</wp14:pctWidth>
          </wp14:sizeRelH>
          <wp14:sizeRelV relativeFrom="margin">
            <wp14:pctHeight>0</wp14:pctHeight>
          </wp14:sizeRelV>
        </wp:anchor>
      </w:drawing>
    </w:r>
    <w:r w:rsidR="00CD18F3">
      <w:rPr>
        <w:noProof/>
        <w:lang w:val="pt-BR" w:eastAsia="pt-BR"/>
      </w:rPr>
      <mc:AlternateContent>
        <mc:Choice Requires="wps">
          <w:drawing>
            <wp:anchor distT="0" distB="0" distL="114300" distR="114300" simplePos="0" relativeHeight="487462400" behindDoc="1" locked="0" layoutInCell="1" allowOverlap="1" wp14:anchorId="36B0111D" wp14:editId="1B8D5111">
              <wp:simplePos x="0" y="0"/>
              <wp:positionH relativeFrom="page">
                <wp:posOffset>772795</wp:posOffset>
              </wp:positionH>
              <wp:positionV relativeFrom="page">
                <wp:posOffset>774065</wp:posOffset>
              </wp:positionV>
              <wp:extent cx="160020" cy="165100"/>
              <wp:effectExtent l="0" t="0" r="0" b="0"/>
              <wp:wrapNone/>
              <wp:docPr id="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111D" id="docshape10" o:spid="_x0000_s1031" type="#_x0000_t202" style="position:absolute;margin-left:60.85pt;margin-top:60.95pt;width:12.6pt;height:13pt;z-index:-158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" filled="f" stroked="f">
              <v:textbox inset="0,0,0,0">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25B79"/>
    <w:multiLevelType w:val="hybridMultilevel"/>
    <w:tmpl w:val="F53CA58A"/>
    <w:lvl w:ilvl="0" w:tplc="3EEEA69E">
      <w:start w:val="1"/>
      <w:numFmt w:val="upperRoman"/>
      <w:lvlText w:val="%1"/>
      <w:lvlJc w:val="left"/>
      <w:pPr>
        <w:ind w:left="416" w:hanging="208"/>
      </w:pPr>
      <w:rPr>
        <w:rFonts w:ascii="Arial" w:eastAsia="Arial" w:hAnsi="Arial" w:cs="Arial" w:hint="default"/>
        <w:b w:val="0"/>
        <w:bCs w:val="0"/>
        <w:i w:val="0"/>
        <w:iCs w:val="0"/>
        <w:w w:val="100"/>
        <w:sz w:val="24"/>
        <w:szCs w:val="24"/>
        <w:lang w:val="pt-PT" w:eastAsia="en-US" w:bidi="ar-SA"/>
      </w:rPr>
    </w:lvl>
    <w:lvl w:ilvl="1" w:tplc="65C25002">
      <w:numFmt w:val="bullet"/>
      <w:lvlText w:val="•"/>
      <w:lvlJc w:val="left"/>
      <w:pPr>
        <w:ind w:left="1410" w:hanging="208"/>
      </w:pPr>
      <w:rPr>
        <w:rFonts w:hint="default"/>
        <w:lang w:val="pt-PT" w:eastAsia="en-US" w:bidi="ar-SA"/>
      </w:rPr>
    </w:lvl>
    <w:lvl w:ilvl="2" w:tplc="CB46E80A">
      <w:numFmt w:val="bullet"/>
      <w:lvlText w:val="•"/>
      <w:lvlJc w:val="left"/>
      <w:pPr>
        <w:ind w:left="2401" w:hanging="208"/>
      </w:pPr>
      <w:rPr>
        <w:rFonts w:hint="default"/>
        <w:lang w:val="pt-PT" w:eastAsia="en-US" w:bidi="ar-SA"/>
      </w:rPr>
    </w:lvl>
    <w:lvl w:ilvl="3" w:tplc="7C900B4A">
      <w:numFmt w:val="bullet"/>
      <w:lvlText w:val="•"/>
      <w:lvlJc w:val="left"/>
      <w:pPr>
        <w:ind w:left="3392" w:hanging="208"/>
      </w:pPr>
      <w:rPr>
        <w:rFonts w:hint="default"/>
        <w:lang w:val="pt-PT" w:eastAsia="en-US" w:bidi="ar-SA"/>
      </w:rPr>
    </w:lvl>
    <w:lvl w:ilvl="4" w:tplc="680AB314">
      <w:numFmt w:val="bullet"/>
      <w:lvlText w:val="•"/>
      <w:lvlJc w:val="left"/>
      <w:pPr>
        <w:ind w:left="4383" w:hanging="208"/>
      </w:pPr>
      <w:rPr>
        <w:rFonts w:hint="default"/>
        <w:lang w:val="pt-PT" w:eastAsia="en-US" w:bidi="ar-SA"/>
      </w:rPr>
    </w:lvl>
    <w:lvl w:ilvl="5" w:tplc="9B629E84">
      <w:numFmt w:val="bullet"/>
      <w:lvlText w:val="•"/>
      <w:lvlJc w:val="left"/>
      <w:pPr>
        <w:ind w:left="5374" w:hanging="208"/>
      </w:pPr>
      <w:rPr>
        <w:rFonts w:hint="default"/>
        <w:lang w:val="pt-PT" w:eastAsia="en-US" w:bidi="ar-SA"/>
      </w:rPr>
    </w:lvl>
    <w:lvl w:ilvl="6" w:tplc="C7F809EA">
      <w:numFmt w:val="bullet"/>
      <w:lvlText w:val="•"/>
      <w:lvlJc w:val="left"/>
      <w:pPr>
        <w:ind w:left="6364" w:hanging="208"/>
      </w:pPr>
      <w:rPr>
        <w:rFonts w:hint="default"/>
        <w:lang w:val="pt-PT" w:eastAsia="en-US" w:bidi="ar-SA"/>
      </w:rPr>
    </w:lvl>
    <w:lvl w:ilvl="7" w:tplc="94029114">
      <w:numFmt w:val="bullet"/>
      <w:lvlText w:val="•"/>
      <w:lvlJc w:val="left"/>
      <w:pPr>
        <w:ind w:left="7355" w:hanging="208"/>
      </w:pPr>
      <w:rPr>
        <w:rFonts w:hint="default"/>
        <w:lang w:val="pt-PT" w:eastAsia="en-US" w:bidi="ar-SA"/>
      </w:rPr>
    </w:lvl>
    <w:lvl w:ilvl="8" w:tplc="35B27A5C">
      <w:numFmt w:val="bullet"/>
      <w:lvlText w:val="•"/>
      <w:lvlJc w:val="left"/>
      <w:pPr>
        <w:ind w:left="8346" w:hanging="208"/>
      </w:pPr>
      <w:rPr>
        <w:rFonts w:hint="default"/>
        <w:lang w:val="pt-PT" w:eastAsia="en-US" w:bidi="ar-SA"/>
      </w:rPr>
    </w:lvl>
  </w:abstractNum>
  <w:abstractNum w:abstractNumId="1" w15:restartNumberingAfterBreak="0">
    <w:nsid w:val="48760D45"/>
    <w:multiLevelType w:val="hybridMultilevel"/>
    <w:tmpl w:val="60B2EF82"/>
    <w:lvl w:ilvl="0" w:tplc="E41C8D70">
      <w:start w:val="1"/>
      <w:numFmt w:val="upperRoman"/>
      <w:lvlText w:val="%1"/>
      <w:lvlJc w:val="left"/>
      <w:pPr>
        <w:ind w:left="416" w:hanging="140"/>
      </w:pPr>
      <w:rPr>
        <w:rFonts w:ascii="Arial" w:eastAsia="Arial" w:hAnsi="Arial" w:cs="Arial" w:hint="default"/>
        <w:b w:val="0"/>
        <w:bCs w:val="0"/>
        <w:i w:val="0"/>
        <w:iCs w:val="0"/>
        <w:w w:val="100"/>
        <w:sz w:val="24"/>
        <w:szCs w:val="24"/>
        <w:lang w:val="pt-PT" w:eastAsia="en-US" w:bidi="ar-SA"/>
      </w:rPr>
    </w:lvl>
    <w:lvl w:ilvl="1" w:tplc="64A47CB6">
      <w:numFmt w:val="bullet"/>
      <w:lvlText w:val="•"/>
      <w:lvlJc w:val="left"/>
      <w:pPr>
        <w:ind w:left="1410" w:hanging="140"/>
      </w:pPr>
      <w:rPr>
        <w:rFonts w:hint="default"/>
        <w:lang w:val="pt-PT" w:eastAsia="en-US" w:bidi="ar-SA"/>
      </w:rPr>
    </w:lvl>
    <w:lvl w:ilvl="2" w:tplc="D7B0F962">
      <w:numFmt w:val="bullet"/>
      <w:lvlText w:val="•"/>
      <w:lvlJc w:val="left"/>
      <w:pPr>
        <w:ind w:left="2401" w:hanging="140"/>
      </w:pPr>
      <w:rPr>
        <w:rFonts w:hint="default"/>
        <w:lang w:val="pt-PT" w:eastAsia="en-US" w:bidi="ar-SA"/>
      </w:rPr>
    </w:lvl>
    <w:lvl w:ilvl="3" w:tplc="C6F2CE84">
      <w:numFmt w:val="bullet"/>
      <w:lvlText w:val="•"/>
      <w:lvlJc w:val="left"/>
      <w:pPr>
        <w:ind w:left="3392" w:hanging="140"/>
      </w:pPr>
      <w:rPr>
        <w:rFonts w:hint="default"/>
        <w:lang w:val="pt-PT" w:eastAsia="en-US" w:bidi="ar-SA"/>
      </w:rPr>
    </w:lvl>
    <w:lvl w:ilvl="4" w:tplc="520890A0">
      <w:numFmt w:val="bullet"/>
      <w:lvlText w:val="•"/>
      <w:lvlJc w:val="left"/>
      <w:pPr>
        <w:ind w:left="4383" w:hanging="140"/>
      </w:pPr>
      <w:rPr>
        <w:rFonts w:hint="default"/>
        <w:lang w:val="pt-PT" w:eastAsia="en-US" w:bidi="ar-SA"/>
      </w:rPr>
    </w:lvl>
    <w:lvl w:ilvl="5" w:tplc="C9AA304A">
      <w:numFmt w:val="bullet"/>
      <w:lvlText w:val="•"/>
      <w:lvlJc w:val="left"/>
      <w:pPr>
        <w:ind w:left="5374" w:hanging="140"/>
      </w:pPr>
      <w:rPr>
        <w:rFonts w:hint="default"/>
        <w:lang w:val="pt-PT" w:eastAsia="en-US" w:bidi="ar-SA"/>
      </w:rPr>
    </w:lvl>
    <w:lvl w:ilvl="6" w:tplc="D83CF898">
      <w:numFmt w:val="bullet"/>
      <w:lvlText w:val="•"/>
      <w:lvlJc w:val="left"/>
      <w:pPr>
        <w:ind w:left="6364" w:hanging="140"/>
      </w:pPr>
      <w:rPr>
        <w:rFonts w:hint="default"/>
        <w:lang w:val="pt-PT" w:eastAsia="en-US" w:bidi="ar-SA"/>
      </w:rPr>
    </w:lvl>
    <w:lvl w:ilvl="7" w:tplc="74822BB2">
      <w:numFmt w:val="bullet"/>
      <w:lvlText w:val="•"/>
      <w:lvlJc w:val="left"/>
      <w:pPr>
        <w:ind w:left="7355" w:hanging="140"/>
      </w:pPr>
      <w:rPr>
        <w:rFonts w:hint="default"/>
        <w:lang w:val="pt-PT" w:eastAsia="en-US" w:bidi="ar-SA"/>
      </w:rPr>
    </w:lvl>
    <w:lvl w:ilvl="8" w:tplc="9FF02E1C">
      <w:numFmt w:val="bullet"/>
      <w:lvlText w:val="•"/>
      <w:lvlJc w:val="left"/>
      <w:pPr>
        <w:ind w:left="8346" w:hanging="140"/>
      </w:pPr>
      <w:rPr>
        <w:rFonts w:hint="default"/>
        <w:lang w:val="pt-PT" w:eastAsia="en-US" w:bidi="ar-SA"/>
      </w:rPr>
    </w:lvl>
  </w:abstractNum>
  <w:abstractNum w:abstractNumId="2" w15:restartNumberingAfterBreak="0">
    <w:nsid w:val="606414C4"/>
    <w:multiLevelType w:val="hybridMultilevel"/>
    <w:tmpl w:val="CF8E3156"/>
    <w:lvl w:ilvl="0" w:tplc="E474ED8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417027E"/>
    <w:multiLevelType w:val="hybridMultilevel"/>
    <w:tmpl w:val="AC16568A"/>
    <w:lvl w:ilvl="0" w:tplc="595CBBAC">
      <w:start w:val="1"/>
      <w:numFmt w:val="upperRoman"/>
      <w:lvlText w:val="%1"/>
      <w:lvlJc w:val="left"/>
      <w:pPr>
        <w:ind w:left="416" w:hanging="192"/>
      </w:pPr>
      <w:rPr>
        <w:rFonts w:ascii="Arial" w:eastAsia="Arial" w:hAnsi="Arial" w:cs="Arial" w:hint="default"/>
        <w:b w:val="0"/>
        <w:bCs w:val="0"/>
        <w:i w:val="0"/>
        <w:iCs w:val="0"/>
        <w:w w:val="100"/>
        <w:sz w:val="24"/>
        <w:szCs w:val="24"/>
        <w:lang w:val="pt-PT" w:eastAsia="en-US" w:bidi="ar-SA"/>
      </w:rPr>
    </w:lvl>
    <w:lvl w:ilvl="1" w:tplc="4EE4F546">
      <w:numFmt w:val="bullet"/>
      <w:lvlText w:val="•"/>
      <w:lvlJc w:val="left"/>
      <w:pPr>
        <w:ind w:left="1410" w:hanging="192"/>
      </w:pPr>
      <w:rPr>
        <w:rFonts w:hint="default"/>
        <w:lang w:val="pt-PT" w:eastAsia="en-US" w:bidi="ar-SA"/>
      </w:rPr>
    </w:lvl>
    <w:lvl w:ilvl="2" w:tplc="2474B7F0">
      <w:numFmt w:val="bullet"/>
      <w:lvlText w:val="•"/>
      <w:lvlJc w:val="left"/>
      <w:pPr>
        <w:ind w:left="2401" w:hanging="192"/>
      </w:pPr>
      <w:rPr>
        <w:rFonts w:hint="default"/>
        <w:lang w:val="pt-PT" w:eastAsia="en-US" w:bidi="ar-SA"/>
      </w:rPr>
    </w:lvl>
    <w:lvl w:ilvl="3" w:tplc="EAC061CA">
      <w:numFmt w:val="bullet"/>
      <w:lvlText w:val="•"/>
      <w:lvlJc w:val="left"/>
      <w:pPr>
        <w:ind w:left="3392" w:hanging="192"/>
      </w:pPr>
      <w:rPr>
        <w:rFonts w:hint="default"/>
        <w:lang w:val="pt-PT" w:eastAsia="en-US" w:bidi="ar-SA"/>
      </w:rPr>
    </w:lvl>
    <w:lvl w:ilvl="4" w:tplc="012C6824">
      <w:numFmt w:val="bullet"/>
      <w:lvlText w:val="•"/>
      <w:lvlJc w:val="left"/>
      <w:pPr>
        <w:ind w:left="4383" w:hanging="192"/>
      </w:pPr>
      <w:rPr>
        <w:rFonts w:hint="default"/>
        <w:lang w:val="pt-PT" w:eastAsia="en-US" w:bidi="ar-SA"/>
      </w:rPr>
    </w:lvl>
    <w:lvl w:ilvl="5" w:tplc="A2C4DB02">
      <w:numFmt w:val="bullet"/>
      <w:lvlText w:val="•"/>
      <w:lvlJc w:val="left"/>
      <w:pPr>
        <w:ind w:left="5374" w:hanging="192"/>
      </w:pPr>
      <w:rPr>
        <w:rFonts w:hint="default"/>
        <w:lang w:val="pt-PT" w:eastAsia="en-US" w:bidi="ar-SA"/>
      </w:rPr>
    </w:lvl>
    <w:lvl w:ilvl="6" w:tplc="7A1604B0">
      <w:numFmt w:val="bullet"/>
      <w:lvlText w:val="•"/>
      <w:lvlJc w:val="left"/>
      <w:pPr>
        <w:ind w:left="6364" w:hanging="192"/>
      </w:pPr>
      <w:rPr>
        <w:rFonts w:hint="default"/>
        <w:lang w:val="pt-PT" w:eastAsia="en-US" w:bidi="ar-SA"/>
      </w:rPr>
    </w:lvl>
    <w:lvl w:ilvl="7" w:tplc="2F6A5832">
      <w:numFmt w:val="bullet"/>
      <w:lvlText w:val="•"/>
      <w:lvlJc w:val="left"/>
      <w:pPr>
        <w:ind w:left="7355" w:hanging="192"/>
      </w:pPr>
      <w:rPr>
        <w:rFonts w:hint="default"/>
        <w:lang w:val="pt-PT" w:eastAsia="en-US" w:bidi="ar-SA"/>
      </w:rPr>
    </w:lvl>
    <w:lvl w:ilvl="8" w:tplc="D83C2EF4">
      <w:numFmt w:val="bullet"/>
      <w:lvlText w:val="•"/>
      <w:lvlJc w:val="left"/>
      <w:pPr>
        <w:ind w:left="8346" w:hanging="192"/>
      </w:pPr>
      <w:rPr>
        <w:rFonts w:hint="default"/>
        <w:lang w:val="pt-PT" w:eastAsia="en-US" w:bidi="ar-SA"/>
      </w:rPr>
    </w:lvl>
  </w:abstractNum>
  <w:abstractNum w:abstractNumId="4" w15:restartNumberingAfterBreak="0">
    <w:nsid w:val="7F1F1B61"/>
    <w:multiLevelType w:val="hybridMultilevel"/>
    <w:tmpl w:val="ECECBD0E"/>
    <w:lvl w:ilvl="0" w:tplc="8CF4CDC8">
      <w:start w:val="1"/>
      <w:numFmt w:val="upperRoman"/>
      <w:lvlText w:val="%1-"/>
      <w:lvlJc w:val="left"/>
      <w:pPr>
        <w:ind w:left="3981" w:hanging="720"/>
      </w:pPr>
      <w:rPr>
        <w:rFonts w:hint="default"/>
      </w:rPr>
    </w:lvl>
    <w:lvl w:ilvl="1" w:tplc="04160019" w:tentative="1">
      <w:start w:val="1"/>
      <w:numFmt w:val="lowerLetter"/>
      <w:lvlText w:val="%2."/>
      <w:lvlJc w:val="left"/>
      <w:pPr>
        <w:ind w:left="4341" w:hanging="360"/>
      </w:pPr>
    </w:lvl>
    <w:lvl w:ilvl="2" w:tplc="0416001B" w:tentative="1">
      <w:start w:val="1"/>
      <w:numFmt w:val="lowerRoman"/>
      <w:lvlText w:val="%3."/>
      <w:lvlJc w:val="right"/>
      <w:pPr>
        <w:ind w:left="5061" w:hanging="180"/>
      </w:pPr>
    </w:lvl>
    <w:lvl w:ilvl="3" w:tplc="0416000F" w:tentative="1">
      <w:start w:val="1"/>
      <w:numFmt w:val="decimal"/>
      <w:lvlText w:val="%4."/>
      <w:lvlJc w:val="left"/>
      <w:pPr>
        <w:ind w:left="5781" w:hanging="360"/>
      </w:pPr>
    </w:lvl>
    <w:lvl w:ilvl="4" w:tplc="04160019" w:tentative="1">
      <w:start w:val="1"/>
      <w:numFmt w:val="lowerLetter"/>
      <w:lvlText w:val="%5."/>
      <w:lvlJc w:val="left"/>
      <w:pPr>
        <w:ind w:left="6501" w:hanging="360"/>
      </w:pPr>
    </w:lvl>
    <w:lvl w:ilvl="5" w:tplc="0416001B" w:tentative="1">
      <w:start w:val="1"/>
      <w:numFmt w:val="lowerRoman"/>
      <w:lvlText w:val="%6."/>
      <w:lvlJc w:val="right"/>
      <w:pPr>
        <w:ind w:left="7221" w:hanging="180"/>
      </w:pPr>
    </w:lvl>
    <w:lvl w:ilvl="6" w:tplc="0416000F" w:tentative="1">
      <w:start w:val="1"/>
      <w:numFmt w:val="decimal"/>
      <w:lvlText w:val="%7."/>
      <w:lvlJc w:val="left"/>
      <w:pPr>
        <w:ind w:left="7941" w:hanging="360"/>
      </w:pPr>
    </w:lvl>
    <w:lvl w:ilvl="7" w:tplc="04160019" w:tentative="1">
      <w:start w:val="1"/>
      <w:numFmt w:val="lowerLetter"/>
      <w:lvlText w:val="%8."/>
      <w:lvlJc w:val="left"/>
      <w:pPr>
        <w:ind w:left="8661" w:hanging="360"/>
      </w:pPr>
    </w:lvl>
    <w:lvl w:ilvl="8" w:tplc="0416001B" w:tentative="1">
      <w:start w:val="1"/>
      <w:numFmt w:val="lowerRoman"/>
      <w:lvlText w:val="%9."/>
      <w:lvlJc w:val="right"/>
      <w:pPr>
        <w:ind w:left="9381" w:hanging="180"/>
      </w:pPr>
    </w:lvl>
  </w:abstractNum>
  <w:num w:numId="1" w16cid:durableId="1099788650">
    <w:abstractNumId w:val="3"/>
  </w:num>
  <w:num w:numId="2" w16cid:durableId="1902592220">
    <w:abstractNumId w:val="1"/>
  </w:num>
  <w:num w:numId="3" w16cid:durableId="1848057430">
    <w:abstractNumId w:val="0"/>
  </w:num>
  <w:num w:numId="4" w16cid:durableId="1766071293">
    <w:abstractNumId w:val="2"/>
  </w:num>
  <w:num w:numId="5" w16cid:durableId="1860243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13"/>
    <w:rsid w:val="00004205"/>
    <w:rsid w:val="000108F4"/>
    <w:rsid w:val="0003248E"/>
    <w:rsid w:val="000352EF"/>
    <w:rsid w:val="00046872"/>
    <w:rsid w:val="00074F10"/>
    <w:rsid w:val="000A285E"/>
    <w:rsid w:val="000C31D6"/>
    <w:rsid w:val="000D1600"/>
    <w:rsid w:val="001076E9"/>
    <w:rsid w:val="00110AE8"/>
    <w:rsid w:val="00110DA0"/>
    <w:rsid w:val="0011247C"/>
    <w:rsid w:val="00152FC1"/>
    <w:rsid w:val="0015430A"/>
    <w:rsid w:val="0016145E"/>
    <w:rsid w:val="0018083D"/>
    <w:rsid w:val="001946EF"/>
    <w:rsid w:val="001A0B04"/>
    <w:rsid w:val="001A1F21"/>
    <w:rsid w:val="001D7391"/>
    <w:rsid w:val="002278C0"/>
    <w:rsid w:val="00256A51"/>
    <w:rsid w:val="00260024"/>
    <w:rsid w:val="00261133"/>
    <w:rsid w:val="00264FDE"/>
    <w:rsid w:val="00267E15"/>
    <w:rsid w:val="00284C89"/>
    <w:rsid w:val="002951EE"/>
    <w:rsid w:val="002D2A06"/>
    <w:rsid w:val="00333AB8"/>
    <w:rsid w:val="00333D6A"/>
    <w:rsid w:val="0034337B"/>
    <w:rsid w:val="00363A59"/>
    <w:rsid w:val="00382472"/>
    <w:rsid w:val="003C737C"/>
    <w:rsid w:val="003E1B38"/>
    <w:rsid w:val="00414618"/>
    <w:rsid w:val="004279AA"/>
    <w:rsid w:val="00435B78"/>
    <w:rsid w:val="00447372"/>
    <w:rsid w:val="00482A2C"/>
    <w:rsid w:val="004966AE"/>
    <w:rsid w:val="00497A1F"/>
    <w:rsid w:val="004C136E"/>
    <w:rsid w:val="004C5544"/>
    <w:rsid w:val="004D57BF"/>
    <w:rsid w:val="004E4270"/>
    <w:rsid w:val="00502216"/>
    <w:rsid w:val="00513B62"/>
    <w:rsid w:val="00537159"/>
    <w:rsid w:val="005500B5"/>
    <w:rsid w:val="005A289E"/>
    <w:rsid w:val="005C2AC7"/>
    <w:rsid w:val="005D1C9F"/>
    <w:rsid w:val="005F3EB1"/>
    <w:rsid w:val="006040BF"/>
    <w:rsid w:val="006247FF"/>
    <w:rsid w:val="0063226A"/>
    <w:rsid w:val="006638A7"/>
    <w:rsid w:val="00681594"/>
    <w:rsid w:val="00683C1B"/>
    <w:rsid w:val="006A4B92"/>
    <w:rsid w:val="006B2BBA"/>
    <w:rsid w:val="006B6DDF"/>
    <w:rsid w:val="006C3FB5"/>
    <w:rsid w:val="006E0709"/>
    <w:rsid w:val="006F5F50"/>
    <w:rsid w:val="007161E4"/>
    <w:rsid w:val="00717510"/>
    <w:rsid w:val="007314A9"/>
    <w:rsid w:val="00737439"/>
    <w:rsid w:val="007543FE"/>
    <w:rsid w:val="007607F7"/>
    <w:rsid w:val="0076257A"/>
    <w:rsid w:val="00763F6A"/>
    <w:rsid w:val="00763FF0"/>
    <w:rsid w:val="007A7A11"/>
    <w:rsid w:val="007D12EB"/>
    <w:rsid w:val="007D31F8"/>
    <w:rsid w:val="007E4FD2"/>
    <w:rsid w:val="00804015"/>
    <w:rsid w:val="00805BFA"/>
    <w:rsid w:val="008156B2"/>
    <w:rsid w:val="00855CCD"/>
    <w:rsid w:val="008738A4"/>
    <w:rsid w:val="00876FA0"/>
    <w:rsid w:val="0089131A"/>
    <w:rsid w:val="008B4D3E"/>
    <w:rsid w:val="008C745E"/>
    <w:rsid w:val="008C7C39"/>
    <w:rsid w:val="008D4115"/>
    <w:rsid w:val="008F7A9A"/>
    <w:rsid w:val="00906D3B"/>
    <w:rsid w:val="00912A8C"/>
    <w:rsid w:val="009445D7"/>
    <w:rsid w:val="00947AF1"/>
    <w:rsid w:val="00952689"/>
    <w:rsid w:val="009546CF"/>
    <w:rsid w:val="00954FFE"/>
    <w:rsid w:val="00955F71"/>
    <w:rsid w:val="0097723A"/>
    <w:rsid w:val="009857CF"/>
    <w:rsid w:val="00994D67"/>
    <w:rsid w:val="009956D5"/>
    <w:rsid w:val="009D27B4"/>
    <w:rsid w:val="009E0938"/>
    <w:rsid w:val="009F3113"/>
    <w:rsid w:val="00A00233"/>
    <w:rsid w:val="00A10712"/>
    <w:rsid w:val="00A21953"/>
    <w:rsid w:val="00A8681F"/>
    <w:rsid w:val="00A90FE5"/>
    <w:rsid w:val="00AA0855"/>
    <w:rsid w:val="00AB120D"/>
    <w:rsid w:val="00AE3DA0"/>
    <w:rsid w:val="00AE6548"/>
    <w:rsid w:val="00B16D6C"/>
    <w:rsid w:val="00B32714"/>
    <w:rsid w:val="00B53530"/>
    <w:rsid w:val="00B710D1"/>
    <w:rsid w:val="00B975AB"/>
    <w:rsid w:val="00BA7E4B"/>
    <w:rsid w:val="00BB173B"/>
    <w:rsid w:val="00BB4823"/>
    <w:rsid w:val="00BC3219"/>
    <w:rsid w:val="00BD4DEB"/>
    <w:rsid w:val="00BE6245"/>
    <w:rsid w:val="00C1179C"/>
    <w:rsid w:val="00C150A6"/>
    <w:rsid w:val="00C33C87"/>
    <w:rsid w:val="00C60583"/>
    <w:rsid w:val="00CA1604"/>
    <w:rsid w:val="00CA1DD7"/>
    <w:rsid w:val="00CD18F3"/>
    <w:rsid w:val="00CE35EA"/>
    <w:rsid w:val="00CE4678"/>
    <w:rsid w:val="00D07C2D"/>
    <w:rsid w:val="00D10CD9"/>
    <w:rsid w:val="00D20DE1"/>
    <w:rsid w:val="00D21CD7"/>
    <w:rsid w:val="00D23B7F"/>
    <w:rsid w:val="00D3458C"/>
    <w:rsid w:val="00D40F06"/>
    <w:rsid w:val="00D41F30"/>
    <w:rsid w:val="00D44D92"/>
    <w:rsid w:val="00D71DE4"/>
    <w:rsid w:val="00D7714A"/>
    <w:rsid w:val="00D93695"/>
    <w:rsid w:val="00D96594"/>
    <w:rsid w:val="00DA6E4E"/>
    <w:rsid w:val="00DB13C6"/>
    <w:rsid w:val="00DB525D"/>
    <w:rsid w:val="00DC442C"/>
    <w:rsid w:val="00DC4F61"/>
    <w:rsid w:val="00DD0682"/>
    <w:rsid w:val="00E0731A"/>
    <w:rsid w:val="00E84C09"/>
    <w:rsid w:val="00E858C3"/>
    <w:rsid w:val="00EA25BB"/>
    <w:rsid w:val="00EA6F9B"/>
    <w:rsid w:val="00EB0036"/>
    <w:rsid w:val="00EB42C8"/>
    <w:rsid w:val="00EC4A11"/>
    <w:rsid w:val="00EC4DD0"/>
    <w:rsid w:val="00ED2851"/>
    <w:rsid w:val="00EF112C"/>
    <w:rsid w:val="00EF345B"/>
    <w:rsid w:val="00F151E8"/>
    <w:rsid w:val="00F31213"/>
    <w:rsid w:val="00F40F05"/>
    <w:rsid w:val="00F41CA8"/>
    <w:rsid w:val="00F53232"/>
    <w:rsid w:val="00F60A88"/>
    <w:rsid w:val="00F66966"/>
    <w:rsid w:val="00F72B63"/>
    <w:rsid w:val="00F90926"/>
    <w:rsid w:val="00F95275"/>
    <w:rsid w:val="00FA04CF"/>
    <w:rsid w:val="00FB2E6E"/>
    <w:rsid w:val="00FB65E7"/>
    <w:rsid w:val="00FC4451"/>
    <w:rsid w:val="00FE0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1D1EA"/>
  <w15:docId w15:val="{CB483609-F79C-4848-8D92-D8719F44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951EE"/>
    <w:rPr>
      <w:rFonts w:ascii="Arial" w:eastAsia="Arial" w:hAnsi="Arial" w:cs="Arial"/>
      <w:lang w:val="pt-PT"/>
    </w:rPr>
  </w:style>
  <w:style w:type="paragraph" w:styleId="Ttulo1">
    <w:name w:val="heading 1"/>
    <w:basedOn w:val="Normal"/>
    <w:uiPriority w:val="1"/>
    <w:qFormat/>
    <w:pPr>
      <w:ind w:left="308" w:right="2310"/>
      <w:jc w:val="center"/>
      <w:outlineLvl w:val="0"/>
    </w:pPr>
    <w:rPr>
      <w:b/>
      <w:bCs/>
      <w:sz w:val="24"/>
      <w:szCs w:val="24"/>
    </w:rPr>
  </w:style>
  <w:style w:type="paragraph" w:styleId="Ttulo2">
    <w:name w:val="heading 2"/>
    <w:basedOn w:val="Normal"/>
    <w:next w:val="Normal"/>
    <w:link w:val="Ttulo2Char"/>
    <w:uiPriority w:val="9"/>
    <w:semiHidden/>
    <w:unhideWhenUsed/>
    <w:qFormat/>
    <w:rsid w:val="004C13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3"/>
      <w:ind w:left="2992" w:right="2310"/>
      <w:jc w:val="center"/>
    </w:pPr>
    <w:rPr>
      <w:rFonts w:ascii="Calibri" w:eastAsia="Calibri" w:hAnsi="Calibri" w:cs="Calibri"/>
      <w:b/>
      <w:bCs/>
      <w:sz w:val="36"/>
      <w:szCs w:val="36"/>
    </w:rPr>
  </w:style>
  <w:style w:type="paragraph" w:styleId="PargrafodaLista">
    <w:name w:val="List Paragraph"/>
    <w:basedOn w:val="Normal"/>
    <w:uiPriority w:val="1"/>
    <w:qFormat/>
    <w:pPr>
      <w:ind w:left="416"/>
    </w:pPr>
  </w:style>
  <w:style w:type="paragraph" w:customStyle="1" w:styleId="TableParagraph">
    <w:name w:val="Table Paragraph"/>
    <w:basedOn w:val="Normal"/>
    <w:uiPriority w:val="1"/>
    <w:qFormat/>
  </w:style>
  <w:style w:type="paragraph" w:styleId="SemEspaamento">
    <w:name w:val="No Spacing"/>
    <w:uiPriority w:val="1"/>
    <w:qFormat/>
    <w:rsid w:val="00CD18F3"/>
    <w:pPr>
      <w:widowControl/>
      <w:autoSpaceDE/>
      <w:autoSpaceDN/>
    </w:pPr>
    <w:rPr>
      <w:lang w:val="pt-BR"/>
    </w:rPr>
  </w:style>
  <w:style w:type="paragraph" w:styleId="Cabealho">
    <w:name w:val="header"/>
    <w:basedOn w:val="Normal"/>
    <w:link w:val="CabealhoChar"/>
    <w:uiPriority w:val="99"/>
    <w:unhideWhenUsed/>
    <w:rsid w:val="00CD18F3"/>
    <w:pPr>
      <w:tabs>
        <w:tab w:val="center" w:pos="4252"/>
        <w:tab w:val="right" w:pos="8504"/>
      </w:tabs>
    </w:pPr>
  </w:style>
  <w:style w:type="character" w:customStyle="1" w:styleId="CabealhoChar">
    <w:name w:val="Cabeçalho Char"/>
    <w:basedOn w:val="Fontepargpadro"/>
    <w:link w:val="Cabealho"/>
    <w:uiPriority w:val="99"/>
    <w:rsid w:val="00CD18F3"/>
    <w:rPr>
      <w:rFonts w:ascii="Arial" w:eastAsia="Arial" w:hAnsi="Arial" w:cs="Arial"/>
      <w:lang w:val="pt-PT"/>
    </w:rPr>
  </w:style>
  <w:style w:type="paragraph" w:styleId="Rodap">
    <w:name w:val="footer"/>
    <w:basedOn w:val="Normal"/>
    <w:link w:val="RodapChar"/>
    <w:uiPriority w:val="99"/>
    <w:unhideWhenUsed/>
    <w:rsid w:val="00CD18F3"/>
    <w:pPr>
      <w:tabs>
        <w:tab w:val="center" w:pos="4252"/>
        <w:tab w:val="right" w:pos="8504"/>
      </w:tabs>
    </w:pPr>
  </w:style>
  <w:style w:type="character" w:customStyle="1" w:styleId="RodapChar">
    <w:name w:val="Rodapé Char"/>
    <w:basedOn w:val="Fontepargpadro"/>
    <w:link w:val="Rodap"/>
    <w:uiPriority w:val="99"/>
    <w:rsid w:val="00CD18F3"/>
    <w:rPr>
      <w:rFonts w:ascii="Arial" w:eastAsia="Arial" w:hAnsi="Arial" w:cs="Arial"/>
      <w:lang w:val="pt-PT"/>
    </w:rPr>
  </w:style>
  <w:style w:type="character" w:customStyle="1" w:styleId="Ttulo2Char">
    <w:name w:val="Título 2 Char"/>
    <w:basedOn w:val="Fontepargpadro"/>
    <w:link w:val="Ttulo2"/>
    <w:uiPriority w:val="9"/>
    <w:semiHidden/>
    <w:rsid w:val="004C136E"/>
    <w:rPr>
      <w:rFonts w:asciiTheme="majorHAnsi" w:eastAsiaTheme="majorEastAsia" w:hAnsiTheme="majorHAnsi" w:cstheme="majorBidi"/>
      <w:b/>
      <w:bCs/>
      <w:color w:val="4F81BD" w:themeColor="accent1"/>
      <w:sz w:val="26"/>
      <w:szCs w:val="26"/>
      <w:lang w:val="pt-PT"/>
    </w:rPr>
  </w:style>
  <w:style w:type="character" w:customStyle="1" w:styleId="CorpodetextoChar">
    <w:name w:val="Corpo de texto Char"/>
    <w:basedOn w:val="Fontepargpadro"/>
    <w:link w:val="Corpodetexto"/>
    <w:uiPriority w:val="1"/>
    <w:rsid w:val="00AE6548"/>
    <w:rPr>
      <w:rFonts w:ascii="Arial" w:eastAsia="Arial" w:hAnsi="Arial" w:cs="Arial"/>
      <w:sz w:val="24"/>
      <w:szCs w:val="24"/>
      <w:lang w:val="pt-PT"/>
    </w:rPr>
  </w:style>
  <w:style w:type="character" w:styleId="Hyperlink">
    <w:name w:val="Hyperlink"/>
    <w:basedOn w:val="Fontepargpadro"/>
    <w:uiPriority w:val="99"/>
    <w:unhideWhenUsed/>
    <w:rsid w:val="000C31D6"/>
    <w:rPr>
      <w:color w:val="0000FF" w:themeColor="hyperlink"/>
      <w:u w:val="single"/>
    </w:rPr>
  </w:style>
  <w:style w:type="paragraph" w:styleId="Textodebalo">
    <w:name w:val="Balloon Text"/>
    <w:basedOn w:val="Normal"/>
    <w:link w:val="TextodebaloChar"/>
    <w:uiPriority w:val="99"/>
    <w:semiHidden/>
    <w:unhideWhenUsed/>
    <w:rsid w:val="002278C0"/>
    <w:rPr>
      <w:rFonts w:ascii="Tahoma" w:hAnsi="Tahoma" w:cs="Tahoma"/>
      <w:sz w:val="16"/>
      <w:szCs w:val="16"/>
    </w:rPr>
  </w:style>
  <w:style w:type="character" w:customStyle="1" w:styleId="TextodebaloChar">
    <w:name w:val="Texto de balão Char"/>
    <w:basedOn w:val="Fontepargpadro"/>
    <w:link w:val="Textodebalo"/>
    <w:uiPriority w:val="99"/>
    <w:semiHidden/>
    <w:rsid w:val="002278C0"/>
    <w:rPr>
      <w:rFonts w:ascii="Tahoma" w:eastAsia="Arial" w:hAnsi="Tahoma" w:cs="Tahoma"/>
      <w:sz w:val="16"/>
      <w:szCs w:val="16"/>
      <w:lang w:val="pt-PT"/>
    </w:rPr>
  </w:style>
  <w:style w:type="table" w:styleId="Tabelacomgrade">
    <w:name w:val="Table Grid"/>
    <w:basedOn w:val="Tabelanormal"/>
    <w:uiPriority w:val="39"/>
    <w:rsid w:val="00716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955446">
      <w:bodyDiv w:val="1"/>
      <w:marLeft w:val="0"/>
      <w:marRight w:val="0"/>
      <w:marTop w:val="0"/>
      <w:marBottom w:val="0"/>
      <w:divBdr>
        <w:top w:val="none" w:sz="0" w:space="0" w:color="auto"/>
        <w:left w:val="none" w:sz="0" w:space="0" w:color="auto"/>
        <w:bottom w:val="none" w:sz="0" w:space="0" w:color="auto"/>
        <w:right w:val="none" w:sz="0" w:space="0" w:color="auto"/>
      </w:divBdr>
      <w:divsChild>
        <w:div w:id="695234260">
          <w:marLeft w:val="0"/>
          <w:marRight w:val="0"/>
          <w:marTop w:val="0"/>
          <w:marBottom w:val="0"/>
          <w:divBdr>
            <w:top w:val="none" w:sz="0" w:space="0" w:color="auto"/>
            <w:left w:val="none" w:sz="0" w:space="0" w:color="auto"/>
            <w:bottom w:val="none" w:sz="0" w:space="0" w:color="auto"/>
            <w:right w:val="none" w:sz="0" w:space="0" w:color="auto"/>
          </w:divBdr>
          <w:divsChild>
            <w:div w:id="884171731">
              <w:marLeft w:val="0"/>
              <w:marRight w:val="0"/>
              <w:marTop w:val="0"/>
              <w:marBottom w:val="0"/>
              <w:divBdr>
                <w:top w:val="none" w:sz="0" w:space="0" w:color="auto"/>
                <w:left w:val="none" w:sz="0" w:space="0" w:color="auto"/>
                <w:bottom w:val="none" w:sz="0" w:space="0" w:color="auto"/>
                <w:right w:val="none" w:sz="0" w:space="0" w:color="auto"/>
              </w:divBdr>
              <w:divsChild>
                <w:div w:id="10242065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94843025">
          <w:marLeft w:val="0"/>
          <w:marRight w:val="0"/>
          <w:marTop w:val="0"/>
          <w:marBottom w:val="0"/>
          <w:divBdr>
            <w:top w:val="none" w:sz="0" w:space="0" w:color="auto"/>
            <w:left w:val="none" w:sz="0" w:space="0" w:color="auto"/>
            <w:bottom w:val="none" w:sz="0" w:space="0" w:color="auto"/>
            <w:right w:val="none" w:sz="0" w:space="0" w:color="auto"/>
          </w:divBdr>
          <w:divsChild>
            <w:div w:id="1036999971">
              <w:marLeft w:val="0"/>
              <w:marRight w:val="0"/>
              <w:marTop w:val="0"/>
              <w:marBottom w:val="0"/>
              <w:divBdr>
                <w:top w:val="none" w:sz="0" w:space="0" w:color="auto"/>
                <w:left w:val="none" w:sz="0" w:space="0" w:color="auto"/>
                <w:bottom w:val="none" w:sz="0" w:space="0" w:color="auto"/>
                <w:right w:val="none" w:sz="0" w:space="0" w:color="auto"/>
              </w:divBdr>
              <w:divsChild>
                <w:div w:id="152463285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621234348">
          <w:marLeft w:val="0"/>
          <w:marRight w:val="0"/>
          <w:marTop w:val="0"/>
          <w:marBottom w:val="0"/>
          <w:divBdr>
            <w:top w:val="none" w:sz="0" w:space="0" w:color="auto"/>
            <w:left w:val="none" w:sz="0" w:space="0" w:color="auto"/>
            <w:bottom w:val="none" w:sz="0" w:space="0" w:color="auto"/>
            <w:right w:val="none" w:sz="0" w:space="0" w:color="auto"/>
          </w:divBdr>
          <w:divsChild>
            <w:div w:id="1363244985">
              <w:marLeft w:val="0"/>
              <w:marRight w:val="0"/>
              <w:marTop w:val="0"/>
              <w:marBottom w:val="0"/>
              <w:divBdr>
                <w:top w:val="none" w:sz="0" w:space="0" w:color="auto"/>
                <w:left w:val="none" w:sz="0" w:space="0" w:color="auto"/>
                <w:bottom w:val="none" w:sz="0" w:space="0" w:color="auto"/>
                <w:right w:val="none" w:sz="0" w:space="0" w:color="auto"/>
              </w:divBdr>
              <w:divsChild>
                <w:div w:id="83153125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1576553">
          <w:marLeft w:val="0"/>
          <w:marRight w:val="0"/>
          <w:marTop w:val="0"/>
          <w:marBottom w:val="0"/>
          <w:divBdr>
            <w:top w:val="none" w:sz="0" w:space="0" w:color="auto"/>
            <w:left w:val="none" w:sz="0" w:space="0" w:color="auto"/>
            <w:bottom w:val="none" w:sz="0" w:space="0" w:color="auto"/>
            <w:right w:val="none" w:sz="0" w:space="0" w:color="auto"/>
          </w:divBdr>
          <w:divsChild>
            <w:div w:id="255359829">
              <w:marLeft w:val="0"/>
              <w:marRight w:val="0"/>
              <w:marTop w:val="0"/>
              <w:marBottom w:val="0"/>
              <w:divBdr>
                <w:top w:val="none" w:sz="0" w:space="0" w:color="auto"/>
                <w:left w:val="none" w:sz="0" w:space="0" w:color="auto"/>
                <w:bottom w:val="none" w:sz="0" w:space="0" w:color="auto"/>
                <w:right w:val="none" w:sz="0" w:space="0" w:color="auto"/>
              </w:divBdr>
            </w:div>
          </w:divsChild>
        </w:div>
        <w:div w:id="154339325">
          <w:marLeft w:val="0"/>
          <w:marRight w:val="0"/>
          <w:marTop w:val="0"/>
          <w:marBottom w:val="0"/>
          <w:divBdr>
            <w:top w:val="none" w:sz="0" w:space="0" w:color="auto"/>
            <w:left w:val="none" w:sz="0" w:space="0" w:color="auto"/>
            <w:bottom w:val="none" w:sz="0" w:space="0" w:color="auto"/>
            <w:right w:val="none" w:sz="0" w:space="0" w:color="auto"/>
          </w:divBdr>
          <w:divsChild>
            <w:div w:id="1199079089">
              <w:marLeft w:val="0"/>
              <w:marRight w:val="0"/>
              <w:marTop w:val="0"/>
              <w:marBottom w:val="0"/>
              <w:divBdr>
                <w:top w:val="none" w:sz="0" w:space="0" w:color="auto"/>
                <w:left w:val="none" w:sz="0" w:space="0" w:color="auto"/>
                <w:bottom w:val="none" w:sz="0" w:space="0" w:color="auto"/>
                <w:right w:val="none" w:sz="0" w:space="0" w:color="auto"/>
              </w:divBdr>
              <w:divsChild>
                <w:div w:id="10475311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80529341">
          <w:marLeft w:val="0"/>
          <w:marRight w:val="0"/>
          <w:marTop w:val="0"/>
          <w:marBottom w:val="0"/>
          <w:divBdr>
            <w:top w:val="none" w:sz="0" w:space="0" w:color="auto"/>
            <w:left w:val="none" w:sz="0" w:space="0" w:color="auto"/>
            <w:bottom w:val="none" w:sz="0" w:space="0" w:color="auto"/>
            <w:right w:val="none" w:sz="0" w:space="0" w:color="auto"/>
          </w:divBdr>
          <w:divsChild>
            <w:div w:id="188829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841739">
      <w:bodyDiv w:val="1"/>
      <w:marLeft w:val="0"/>
      <w:marRight w:val="0"/>
      <w:marTop w:val="0"/>
      <w:marBottom w:val="0"/>
      <w:divBdr>
        <w:top w:val="none" w:sz="0" w:space="0" w:color="auto"/>
        <w:left w:val="none" w:sz="0" w:space="0" w:color="auto"/>
        <w:bottom w:val="none" w:sz="0" w:space="0" w:color="auto"/>
        <w:right w:val="none" w:sz="0" w:space="0" w:color="auto"/>
      </w:divBdr>
      <w:divsChild>
        <w:div w:id="7871611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wmf"/><Relationship Id="rId2" Type="http://schemas.openxmlformats.org/officeDocument/2006/relationships/hyperlink" Target="mailto:/%20claudiocunha43@hotmail.com" TargetMode="External"/><Relationship Id="rId1" Type="http://schemas.openxmlformats.org/officeDocument/2006/relationships/hyperlink" Target="mailto:@gmail.com" TargetMode="External"/><Relationship Id="rId5" Type="http://schemas.openxmlformats.org/officeDocument/2006/relationships/hyperlink" Target="mailto:/%20claudiocunha43@hotmail.com" TargetMode="External"/><Relationship Id="rId4" Type="http://schemas.openxmlformats.org/officeDocument/2006/relationships/hyperlink" Target="mailt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EDA39-D089-45D0-A4A8-8368CA7F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1517</Words>
  <Characters>8193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dc:creator>
  <cp:lastModifiedBy>Darney Makson</cp:lastModifiedBy>
  <cp:revision>2</cp:revision>
  <cp:lastPrinted>2026-02-02T14:10:00Z</cp:lastPrinted>
  <dcterms:created xsi:type="dcterms:W3CDTF">2026-04-14T13:30:00Z</dcterms:created>
  <dcterms:modified xsi:type="dcterms:W3CDTF">2026-04-14T13:30:00Z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2023-02-05T00:00:00Z</vt:filetime>
  </property>
  <property fmtid="{D5CDD505-2E9C-101B-9397-08002B2CF9AE}" pid="3" name="Creator">
    <vt:lpwstr>Microsoft® Word 2010</vt:lpwstr>
  </property>
  <property fmtid="{D5CDD505-2E9C-101B-9397-08002B2CF9AE}" pid="4" name="LastSaved">
    <vt:filetime>2023-02-05T00:00:00Z</vt:filetime>
  </property>
  <property fmtid="{D5CDD505-2E9C-101B-9397-08002B2CF9AE}" pid="5" name="Producer">
    <vt:lpwstr>Microsoft® Word 2010</vt:lpwstr>
  </property>
</Properties>
</file>