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tabs>
          <w:tab w:pos="3644" w:val="left" w:leader="none"/>
        </w:tabs>
      </w:pPr>
      <w:r>
        <w:rPr/>
        <w:t>PROJETO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/>
        <w:t>LEI</w:t>
      </w:r>
      <w:r>
        <w:rPr>
          <w:spacing w:val="-8"/>
        </w:rPr>
        <w:t> </w:t>
      </w:r>
      <w:r>
        <w:rPr>
          <w:spacing w:val="-5"/>
        </w:rPr>
        <w:t>Nº</w:t>
      </w:r>
      <w:r>
        <w:rPr/>
        <w:tab/>
        <w:t>,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2026</w:t>
      </w:r>
    </w:p>
    <w:p>
      <w:pPr>
        <w:pStyle w:val="BodyText"/>
        <w:rPr>
          <w:b/>
          <w:sz w:val="32"/>
        </w:rPr>
      </w:pPr>
    </w:p>
    <w:p>
      <w:pPr>
        <w:pStyle w:val="BodyText"/>
        <w:spacing w:before="226"/>
        <w:rPr>
          <w:b/>
          <w:sz w:val="32"/>
        </w:rPr>
      </w:pPr>
    </w:p>
    <w:p>
      <w:pPr>
        <w:spacing w:line="240" w:lineRule="auto" w:before="0"/>
        <w:ind w:left="3689" w:right="139" w:firstLine="0"/>
        <w:jc w:val="both"/>
        <w:rPr>
          <w:sz w:val="24"/>
        </w:rPr>
      </w:pPr>
      <w:r>
        <w:rPr>
          <w:sz w:val="24"/>
        </w:rPr>
        <w:t>Altera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Lei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5"/>
          <w:sz w:val="24"/>
        </w:rPr>
        <w:t> </w:t>
      </w:r>
      <w:r>
        <w:rPr>
          <w:sz w:val="24"/>
        </w:rPr>
        <w:t>7.799,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19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dezembro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2002, para reduzir, em caráter temporário, as alíquotas do ICMS incidentes sobre combustíveis até 31 de dezembro de 2026, e dá outras providências.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59"/>
        <w:rPr>
          <w:sz w:val="24"/>
        </w:rPr>
      </w:pPr>
    </w:p>
    <w:p>
      <w:pPr>
        <w:pStyle w:val="BodyText"/>
        <w:tabs>
          <w:tab w:pos="1897" w:val="left" w:leader="none"/>
          <w:tab w:pos="3930" w:val="left" w:leader="none"/>
          <w:tab w:pos="6039" w:val="left" w:leader="none"/>
          <w:tab w:pos="6720" w:val="left" w:leader="none"/>
          <w:tab w:pos="8099" w:val="left" w:leader="none"/>
        </w:tabs>
        <w:spacing w:before="1"/>
        <w:ind w:left="1420"/>
      </w:pPr>
      <w:r>
        <w:rPr>
          <w:spacing w:val="-10"/>
        </w:rPr>
        <w:t>A</w:t>
      </w:r>
      <w:r>
        <w:rPr/>
        <w:tab/>
      </w:r>
      <w:r>
        <w:rPr>
          <w:spacing w:val="-2"/>
        </w:rPr>
        <w:t>ASSEMBLEIA</w:t>
      </w:r>
      <w:r>
        <w:rPr/>
        <w:tab/>
      </w:r>
      <w:r>
        <w:rPr>
          <w:spacing w:val="-2"/>
        </w:rPr>
        <w:t>LEGISLATIVA</w:t>
      </w:r>
      <w:r>
        <w:rPr/>
        <w:tab/>
      </w:r>
      <w:r>
        <w:rPr>
          <w:spacing w:val="-5"/>
        </w:rPr>
        <w:t>DO</w:t>
      </w:r>
      <w:r>
        <w:rPr/>
        <w:tab/>
      </w:r>
      <w:r>
        <w:rPr>
          <w:spacing w:val="-2"/>
        </w:rPr>
        <w:t>ESTADO</w:t>
      </w:r>
      <w:r>
        <w:rPr/>
        <w:tab/>
      </w:r>
      <w:r>
        <w:rPr>
          <w:spacing w:val="-5"/>
        </w:rPr>
        <w:t>DO</w:t>
      </w:r>
    </w:p>
    <w:p>
      <w:pPr>
        <w:pStyle w:val="BodyText"/>
        <w:spacing w:before="2"/>
        <w:ind w:left="2"/>
      </w:pPr>
      <w:r>
        <w:rPr/>
        <w:t>MARANHÃO</w:t>
      </w:r>
      <w:r>
        <w:rPr>
          <w:spacing w:val="-9"/>
        </w:rPr>
        <w:t> </w:t>
      </w:r>
      <w:r>
        <w:rPr>
          <w:spacing w:val="-2"/>
        </w:rPr>
        <w:t>decreta:</w:t>
      </w:r>
    </w:p>
    <w:p>
      <w:pPr>
        <w:pStyle w:val="BodyText"/>
        <w:spacing w:before="36"/>
      </w:pPr>
    </w:p>
    <w:p>
      <w:pPr>
        <w:spacing w:before="0"/>
        <w:ind w:left="2" w:right="0" w:firstLine="1418"/>
        <w:jc w:val="left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1°</w:t>
      </w:r>
      <w:r>
        <w:rPr>
          <w:b/>
          <w:spacing w:val="40"/>
          <w:sz w:val="24"/>
        </w:rPr>
        <w:t> </w:t>
      </w:r>
      <w:r>
        <w:rPr>
          <w:sz w:val="24"/>
        </w:rPr>
        <w:t>Esta</w:t>
      </w:r>
      <w:r>
        <w:rPr>
          <w:spacing w:val="40"/>
          <w:sz w:val="24"/>
        </w:rPr>
        <w:t> </w:t>
      </w:r>
      <w:r>
        <w:rPr>
          <w:sz w:val="24"/>
        </w:rPr>
        <w:t>Lei</w:t>
      </w:r>
      <w:r>
        <w:rPr>
          <w:spacing w:val="40"/>
          <w:sz w:val="24"/>
        </w:rPr>
        <w:t> </w:t>
      </w:r>
      <w:r>
        <w:rPr>
          <w:sz w:val="24"/>
        </w:rPr>
        <w:t>dispõe</w:t>
      </w:r>
      <w:r>
        <w:rPr>
          <w:spacing w:val="40"/>
          <w:sz w:val="24"/>
        </w:rPr>
        <w:t> </w:t>
      </w:r>
      <w:r>
        <w:rPr>
          <w:sz w:val="24"/>
        </w:rPr>
        <w:t>sobre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redução,</w:t>
      </w:r>
      <w:r>
        <w:rPr>
          <w:spacing w:val="40"/>
          <w:sz w:val="24"/>
        </w:rPr>
        <w:t> </w:t>
      </w:r>
      <w:r>
        <w:rPr>
          <w:sz w:val="24"/>
        </w:rPr>
        <w:t>em</w:t>
      </w:r>
      <w:r>
        <w:rPr>
          <w:spacing w:val="40"/>
          <w:sz w:val="24"/>
        </w:rPr>
        <w:t> </w:t>
      </w:r>
      <w:r>
        <w:rPr>
          <w:sz w:val="24"/>
        </w:rPr>
        <w:t>caráter</w:t>
      </w:r>
      <w:r>
        <w:rPr>
          <w:spacing w:val="40"/>
          <w:sz w:val="24"/>
        </w:rPr>
        <w:t> </w:t>
      </w:r>
      <w:r>
        <w:rPr>
          <w:sz w:val="24"/>
        </w:rPr>
        <w:t>temporário,</w:t>
      </w:r>
      <w:r>
        <w:rPr>
          <w:spacing w:val="40"/>
          <w:sz w:val="24"/>
        </w:rPr>
        <w:t> </w:t>
      </w:r>
      <w:r>
        <w:rPr>
          <w:sz w:val="24"/>
        </w:rPr>
        <w:t>das alíquotas do ICMS incidentes sobre combustíveis, até 31 de dezembro de 2026.</w:t>
      </w:r>
    </w:p>
    <w:p>
      <w:pPr>
        <w:spacing w:before="120"/>
        <w:ind w:left="2" w:right="0" w:firstLine="1418"/>
        <w:jc w:val="left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34"/>
          <w:sz w:val="24"/>
        </w:rPr>
        <w:t> </w:t>
      </w:r>
      <w:r>
        <w:rPr>
          <w:b/>
          <w:sz w:val="24"/>
        </w:rPr>
        <w:t>2°</w:t>
      </w:r>
      <w:r>
        <w:rPr>
          <w:b/>
          <w:spacing w:val="37"/>
          <w:sz w:val="24"/>
        </w:rPr>
        <w:t> </w:t>
      </w:r>
      <w:r>
        <w:rPr>
          <w:sz w:val="24"/>
        </w:rPr>
        <w:t>Fica</w:t>
      </w:r>
      <w:r>
        <w:rPr>
          <w:spacing w:val="34"/>
          <w:sz w:val="24"/>
        </w:rPr>
        <w:t> </w:t>
      </w:r>
      <w:r>
        <w:rPr>
          <w:sz w:val="24"/>
        </w:rPr>
        <w:t>acrescido</w:t>
      </w:r>
      <w:r>
        <w:rPr>
          <w:spacing w:val="38"/>
          <w:sz w:val="24"/>
        </w:rPr>
        <w:t> </w:t>
      </w:r>
      <w:r>
        <w:rPr>
          <w:sz w:val="24"/>
        </w:rPr>
        <w:t>à</w:t>
      </w:r>
      <w:r>
        <w:rPr>
          <w:spacing w:val="34"/>
          <w:sz w:val="24"/>
        </w:rPr>
        <w:t> </w:t>
      </w:r>
      <w:r>
        <w:rPr>
          <w:sz w:val="24"/>
        </w:rPr>
        <w:t>Lei</w:t>
      </w:r>
      <w:r>
        <w:rPr>
          <w:spacing w:val="35"/>
          <w:sz w:val="24"/>
        </w:rPr>
        <w:t> </w:t>
      </w:r>
      <w:r>
        <w:rPr>
          <w:sz w:val="24"/>
        </w:rPr>
        <w:t>nº</w:t>
      </w:r>
      <w:r>
        <w:rPr>
          <w:spacing w:val="35"/>
          <w:sz w:val="24"/>
        </w:rPr>
        <w:t> </w:t>
      </w:r>
      <w:r>
        <w:rPr>
          <w:sz w:val="24"/>
        </w:rPr>
        <w:t>7.799,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19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dezembro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2002,</w:t>
      </w:r>
      <w:r>
        <w:rPr>
          <w:spacing w:val="35"/>
          <w:sz w:val="24"/>
        </w:rPr>
        <w:t> </w:t>
      </w:r>
      <w:r>
        <w:rPr>
          <w:sz w:val="24"/>
        </w:rPr>
        <w:t>o seguinte art. 23-A:</w:t>
      </w:r>
    </w:p>
    <w:p>
      <w:pPr>
        <w:spacing w:before="121"/>
        <w:ind w:left="1986" w:right="141" w:firstLine="567"/>
        <w:jc w:val="both"/>
        <w:rPr>
          <w:sz w:val="24"/>
        </w:rPr>
      </w:pPr>
      <w:r>
        <w:rPr>
          <w:sz w:val="24"/>
        </w:rPr>
        <w:t>"</w:t>
      </w:r>
      <w:r>
        <w:rPr>
          <w:b/>
          <w:sz w:val="24"/>
        </w:rPr>
        <w:t>Art. 23-A</w:t>
      </w:r>
      <w:r>
        <w:rPr>
          <w:sz w:val="24"/>
        </w:rPr>
        <w:t>. Excepcionalmente, até 31 de dezembro de 2026, ficam reduzidas as alíquotas do ICMS incidentes sobre operações internas e de importação com os seguintes combustíveis:</w:t>
      </w:r>
    </w:p>
    <w:p>
      <w:pPr>
        <w:pStyle w:val="ListParagraph"/>
        <w:numPr>
          <w:ilvl w:val="0"/>
          <w:numId w:val="1"/>
        </w:numPr>
        <w:tabs>
          <w:tab w:pos="2688" w:val="left" w:leader="none"/>
        </w:tabs>
        <w:spacing w:line="240" w:lineRule="auto" w:before="120" w:after="0"/>
        <w:ind w:left="2688" w:right="0" w:hanging="135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álcool</w:t>
      </w:r>
      <w:r>
        <w:rPr>
          <w:spacing w:val="-1"/>
          <w:sz w:val="24"/>
        </w:rPr>
        <w:t> </w:t>
      </w:r>
      <w:r>
        <w:rPr>
          <w:sz w:val="24"/>
        </w:rPr>
        <w:t>hidratado: </w:t>
      </w:r>
      <w:r>
        <w:rPr>
          <w:spacing w:val="-4"/>
          <w:sz w:val="24"/>
        </w:rPr>
        <w:t>15%;</w:t>
      </w:r>
    </w:p>
    <w:p>
      <w:pPr>
        <w:pStyle w:val="ListParagraph"/>
        <w:numPr>
          <w:ilvl w:val="0"/>
          <w:numId w:val="1"/>
        </w:numPr>
        <w:tabs>
          <w:tab w:pos="2770" w:val="left" w:leader="none"/>
        </w:tabs>
        <w:spacing w:line="240" w:lineRule="auto" w:before="120" w:after="0"/>
        <w:ind w:left="2770" w:right="0" w:hanging="217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óleo</w:t>
      </w:r>
      <w:r>
        <w:rPr>
          <w:spacing w:val="-1"/>
          <w:sz w:val="24"/>
        </w:rPr>
        <w:t> </w:t>
      </w:r>
      <w:r>
        <w:rPr>
          <w:sz w:val="24"/>
        </w:rPr>
        <w:t>combustível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querosene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aviação</w:t>
      </w:r>
      <w:r>
        <w:rPr>
          <w:spacing w:val="-1"/>
          <w:sz w:val="24"/>
        </w:rPr>
        <w:t> </w:t>
      </w:r>
      <w:r>
        <w:rPr>
          <w:sz w:val="24"/>
        </w:rPr>
        <w:t>(QAV):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15%.</w:t>
      </w:r>
    </w:p>
    <w:p>
      <w:pPr>
        <w:pStyle w:val="ListParagraph"/>
        <w:numPr>
          <w:ilvl w:val="0"/>
          <w:numId w:val="1"/>
        </w:numPr>
        <w:tabs>
          <w:tab w:pos="2849" w:val="left" w:leader="none"/>
        </w:tabs>
        <w:spacing w:line="240" w:lineRule="auto" w:before="120" w:after="0"/>
        <w:ind w:left="2849" w:right="0" w:hanging="296"/>
        <w:jc w:val="both"/>
        <w:rPr>
          <w:sz w:val="24"/>
        </w:rPr>
      </w:pPr>
      <w:r>
        <w:rPr>
          <w:sz w:val="24"/>
        </w:rPr>
        <w:t>– gasolina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álcool anidro: </w:t>
      </w:r>
      <w:r>
        <w:rPr>
          <w:spacing w:val="-4"/>
          <w:sz w:val="24"/>
        </w:rPr>
        <w:t>16%;</w:t>
      </w:r>
    </w:p>
    <w:p>
      <w:pPr>
        <w:pStyle w:val="ListParagraph"/>
        <w:numPr>
          <w:ilvl w:val="0"/>
          <w:numId w:val="1"/>
        </w:numPr>
        <w:tabs>
          <w:tab w:pos="2864" w:val="left" w:leader="none"/>
        </w:tabs>
        <w:spacing w:line="240" w:lineRule="auto" w:before="120" w:after="0"/>
        <w:ind w:left="2864" w:right="0" w:hanging="311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óleo</w:t>
      </w:r>
      <w:r>
        <w:rPr>
          <w:spacing w:val="-2"/>
          <w:sz w:val="24"/>
        </w:rPr>
        <w:t> </w:t>
      </w:r>
      <w:r>
        <w:rPr>
          <w:sz w:val="24"/>
        </w:rPr>
        <w:t>diesel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biodiesel: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10%;</w:t>
      </w:r>
    </w:p>
    <w:p>
      <w:pPr>
        <w:pStyle w:val="ListParagraph"/>
        <w:numPr>
          <w:ilvl w:val="0"/>
          <w:numId w:val="1"/>
        </w:numPr>
        <w:tabs>
          <w:tab w:pos="2785" w:val="left" w:leader="none"/>
        </w:tabs>
        <w:spacing w:line="240" w:lineRule="auto" w:before="120" w:after="0"/>
        <w:ind w:left="1986" w:right="144" w:firstLine="567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gás</w:t>
      </w:r>
      <w:r>
        <w:rPr>
          <w:spacing w:val="-4"/>
          <w:sz w:val="24"/>
        </w:rPr>
        <w:t> </w:t>
      </w:r>
      <w:r>
        <w:rPr>
          <w:sz w:val="24"/>
        </w:rPr>
        <w:t>liquefeito</w:t>
      </w:r>
      <w:r>
        <w:rPr>
          <w:spacing w:val="-3"/>
          <w:sz w:val="24"/>
        </w:rPr>
        <w:t> </w:t>
      </w:r>
      <w:r>
        <w:rPr>
          <w:sz w:val="24"/>
        </w:rPr>
        <w:t>derivado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petróleo</w:t>
      </w:r>
      <w:r>
        <w:rPr>
          <w:spacing w:val="-3"/>
          <w:sz w:val="24"/>
        </w:rPr>
        <w:t> </w:t>
      </w:r>
      <w:r>
        <w:rPr>
          <w:sz w:val="24"/>
        </w:rPr>
        <w:t>(GLP)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gás</w:t>
      </w:r>
      <w:r>
        <w:rPr>
          <w:spacing w:val="-4"/>
          <w:sz w:val="24"/>
        </w:rPr>
        <w:t> </w:t>
      </w:r>
      <w:r>
        <w:rPr>
          <w:sz w:val="24"/>
        </w:rPr>
        <w:t>liquefeito derivado de gás natural (GLGNn e GLGNi): 8%;</w:t>
      </w:r>
    </w:p>
    <w:p>
      <w:pPr>
        <w:pStyle w:val="ListParagraph"/>
        <w:numPr>
          <w:ilvl w:val="0"/>
          <w:numId w:val="1"/>
        </w:numPr>
        <w:tabs>
          <w:tab w:pos="2871" w:val="left" w:leader="none"/>
        </w:tabs>
        <w:spacing w:line="240" w:lineRule="auto" w:before="121" w:after="0"/>
        <w:ind w:left="1986" w:right="141" w:firstLine="567"/>
        <w:jc w:val="both"/>
        <w:rPr>
          <w:sz w:val="24"/>
        </w:rPr>
      </w:pPr>
      <w:r>
        <w:rPr>
          <w:sz w:val="24"/>
        </w:rPr>
        <w:t>– demais combustíveis não abrangidos pelo art. 23-B nem pelos incisos anteriores: 16%.</w:t>
      </w:r>
    </w:p>
    <w:p>
      <w:pPr>
        <w:spacing w:before="120"/>
        <w:ind w:left="1986" w:right="138" w:firstLine="567"/>
        <w:jc w:val="both"/>
        <w:rPr>
          <w:sz w:val="24"/>
        </w:rPr>
      </w:pPr>
      <w:r>
        <w:rPr>
          <w:sz w:val="24"/>
        </w:rPr>
        <w:t>Parágrafo único. Para fins do disposto no caput deste artigo, em observância aos arts. 16 e 17 da Lei Complementar Federal nº 101, de 4 de maio de 2000, e ao art. 113 do Ato das Disposições Constitucionais Transitórias da Constituição Federal, o Poder Executivo considerará, isolada ou cumulativamente, dentre outras </w:t>
      </w:r>
      <w:r>
        <w:rPr>
          <w:spacing w:val="-2"/>
          <w:sz w:val="24"/>
        </w:rPr>
        <w:t>hipóteses:</w:t>
      </w:r>
    </w:p>
    <w:p>
      <w:pPr>
        <w:pStyle w:val="ListParagraph"/>
        <w:numPr>
          <w:ilvl w:val="0"/>
          <w:numId w:val="2"/>
        </w:numPr>
        <w:tabs>
          <w:tab w:pos="2724" w:val="left" w:leader="none"/>
        </w:tabs>
        <w:spacing w:line="240" w:lineRule="auto" w:before="120" w:after="0"/>
        <w:ind w:left="1986" w:right="142" w:firstLine="567"/>
        <w:jc w:val="both"/>
        <w:rPr>
          <w:sz w:val="24"/>
        </w:rPr>
      </w:pPr>
      <w:r>
        <w:rPr>
          <w:sz w:val="24"/>
        </w:rPr>
        <w:t>– a existência de superávit primário apurado no exercício financeiro de 2025;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headerReference w:type="default" r:id="rId5"/>
          <w:type w:val="continuous"/>
          <w:pgSz w:w="11910" w:h="16840"/>
          <w:pgMar w:header="708" w:footer="0" w:top="2640" w:bottom="280" w:left="1700" w:right="1559"/>
          <w:pgNumType w:start="1"/>
        </w:sectPr>
      </w:pPr>
    </w:p>
    <w:p>
      <w:pPr>
        <w:pStyle w:val="ListParagraph"/>
        <w:numPr>
          <w:ilvl w:val="0"/>
          <w:numId w:val="2"/>
        </w:numPr>
        <w:tabs>
          <w:tab w:pos="2875" w:val="left" w:leader="none"/>
        </w:tabs>
        <w:spacing w:line="240" w:lineRule="auto" w:before="272" w:after="0"/>
        <w:ind w:left="1986" w:right="142" w:firstLine="567"/>
        <w:jc w:val="both"/>
        <w:rPr>
          <w:sz w:val="24"/>
        </w:rPr>
      </w:pPr>
      <w:r>
        <w:rPr>
          <w:sz w:val="24"/>
        </w:rPr>
        <w:t>– a existência de superávit financeiro de exercícios </w:t>
      </w:r>
      <w:r>
        <w:rPr>
          <w:spacing w:val="-2"/>
          <w:sz w:val="24"/>
        </w:rPr>
        <w:t>anteriores;</w:t>
      </w:r>
    </w:p>
    <w:p>
      <w:pPr>
        <w:pStyle w:val="ListParagraph"/>
        <w:numPr>
          <w:ilvl w:val="0"/>
          <w:numId w:val="2"/>
        </w:numPr>
        <w:tabs>
          <w:tab w:pos="2837" w:val="left" w:leader="none"/>
        </w:tabs>
        <w:spacing w:line="240" w:lineRule="auto" w:before="120" w:after="0"/>
        <w:ind w:left="2837" w:right="0" w:hanging="284"/>
        <w:jc w:val="both"/>
        <w:rPr>
          <w:sz w:val="24"/>
        </w:rPr>
      </w:pPr>
      <w:r>
        <w:rPr>
          <w:sz w:val="24"/>
        </w:rPr>
        <w:t>–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3"/>
          <w:sz w:val="24"/>
        </w:rPr>
        <w:t> </w:t>
      </w:r>
      <w:r>
        <w:rPr>
          <w:sz w:val="24"/>
        </w:rPr>
        <w:t>excesso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arrecadação</w:t>
      </w:r>
      <w:r>
        <w:rPr>
          <w:spacing w:val="-10"/>
          <w:sz w:val="24"/>
        </w:rPr>
        <w:t> </w:t>
      </w:r>
      <w:r>
        <w:rPr>
          <w:sz w:val="24"/>
        </w:rPr>
        <w:t>verificado</w:t>
      </w:r>
      <w:r>
        <w:rPr>
          <w:spacing w:val="-13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exercício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2026;</w:t>
      </w:r>
    </w:p>
    <w:p>
      <w:pPr>
        <w:pStyle w:val="ListParagraph"/>
        <w:numPr>
          <w:ilvl w:val="0"/>
          <w:numId w:val="2"/>
        </w:numPr>
        <w:tabs>
          <w:tab w:pos="2863" w:val="left" w:leader="none"/>
        </w:tabs>
        <w:spacing w:line="240" w:lineRule="auto" w:before="121" w:after="0"/>
        <w:ind w:left="2863" w:right="0" w:hanging="310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ingresso</w:t>
      </w:r>
      <w:r>
        <w:rPr>
          <w:spacing w:val="-2"/>
          <w:sz w:val="24"/>
        </w:rPr>
        <w:t> </w:t>
      </w:r>
      <w:r>
        <w:rPr>
          <w:sz w:val="24"/>
        </w:rPr>
        <w:t>de receitas</w:t>
      </w:r>
      <w:r>
        <w:rPr>
          <w:spacing w:val="-2"/>
          <w:sz w:val="24"/>
        </w:rPr>
        <w:t> </w:t>
      </w:r>
      <w:r>
        <w:rPr>
          <w:sz w:val="24"/>
        </w:rPr>
        <w:t>extraordinárias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recorrentes;</w:t>
      </w:r>
    </w:p>
    <w:p>
      <w:pPr>
        <w:pStyle w:val="ListParagraph"/>
        <w:numPr>
          <w:ilvl w:val="0"/>
          <w:numId w:val="2"/>
        </w:numPr>
        <w:tabs>
          <w:tab w:pos="2802" w:val="left" w:leader="none"/>
        </w:tabs>
        <w:spacing w:line="240" w:lineRule="auto" w:before="120" w:after="0"/>
        <w:ind w:left="1986" w:right="141" w:firstLine="567"/>
        <w:jc w:val="both"/>
        <w:rPr>
          <w:sz w:val="24"/>
        </w:rPr>
      </w:pPr>
      <w:r>
        <w:rPr>
          <w:sz w:val="24"/>
        </w:rPr>
        <w:t>– a anulação, o contingenciamento, o remanejamento ou a reprogramação de dotações orçamentárias;</w:t>
      </w:r>
    </w:p>
    <w:p>
      <w:pPr>
        <w:pStyle w:val="ListParagraph"/>
        <w:numPr>
          <w:ilvl w:val="0"/>
          <w:numId w:val="2"/>
        </w:numPr>
        <w:tabs>
          <w:tab w:pos="3075" w:val="left" w:leader="none"/>
        </w:tabs>
        <w:spacing w:line="240" w:lineRule="auto" w:before="120" w:after="0"/>
        <w:ind w:left="1986" w:right="142" w:firstLine="567"/>
        <w:jc w:val="both"/>
        <w:rPr>
          <w:sz w:val="24"/>
        </w:rPr>
      </w:pPr>
      <w:r>
        <w:rPr>
          <w:sz w:val="24"/>
        </w:rPr>
        <w:t>– a revisão de despesas correntes, contratos administrativos, custeio da máquina pública e demais gastos não </w:t>
      </w:r>
      <w:r>
        <w:rPr>
          <w:spacing w:val="-2"/>
          <w:sz w:val="24"/>
        </w:rPr>
        <w:t>essenciais;</w:t>
      </w:r>
    </w:p>
    <w:p>
      <w:pPr>
        <w:pStyle w:val="ListParagraph"/>
        <w:numPr>
          <w:ilvl w:val="0"/>
          <w:numId w:val="2"/>
        </w:numPr>
        <w:tabs>
          <w:tab w:pos="2938" w:val="left" w:leader="none"/>
        </w:tabs>
        <w:spacing w:line="240" w:lineRule="auto" w:before="120" w:after="0"/>
        <w:ind w:left="1986" w:right="141" w:firstLine="567"/>
        <w:jc w:val="both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redução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despesas</w:t>
      </w:r>
      <w:r>
        <w:rPr>
          <w:spacing w:val="-9"/>
          <w:sz w:val="24"/>
        </w:rPr>
        <w:t> </w:t>
      </w:r>
      <w:r>
        <w:rPr>
          <w:sz w:val="24"/>
        </w:rPr>
        <w:t>administrativas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racionalização de despesas de custeio;</w:t>
      </w:r>
    </w:p>
    <w:p>
      <w:pPr>
        <w:pStyle w:val="ListParagraph"/>
        <w:numPr>
          <w:ilvl w:val="0"/>
          <w:numId w:val="2"/>
        </w:numPr>
        <w:tabs>
          <w:tab w:pos="3026" w:val="left" w:leader="none"/>
        </w:tabs>
        <w:spacing w:line="240" w:lineRule="auto" w:before="120" w:after="0"/>
        <w:ind w:left="1986" w:right="143" w:firstLine="567"/>
        <w:jc w:val="both"/>
        <w:rPr>
          <w:sz w:val="24"/>
        </w:rPr>
      </w:pPr>
      <w:r>
        <w:rPr>
          <w:sz w:val="24"/>
        </w:rPr>
        <w:t>– o incremento de</w:t>
      </w:r>
      <w:r>
        <w:rPr>
          <w:spacing w:val="-1"/>
          <w:sz w:val="24"/>
        </w:rPr>
        <w:t> </w:t>
      </w:r>
      <w:r>
        <w:rPr>
          <w:sz w:val="24"/>
        </w:rPr>
        <w:t>arrecadação decorrente de medidas de combate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sonegação, de fiscalização tributária e de</w:t>
      </w:r>
      <w:r>
        <w:rPr>
          <w:spacing w:val="-1"/>
          <w:sz w:val="24"/>
        </w:rPr>
        <w:t> </w:t>
      </w:r>
      <w:r>
        <w:rPr>
          <w:sz w:val="24"/>
        </w:rPr>
        <w:t>recuperação de créditos inscritos ou não em dívida ativa;</w:t>
      </w:r>
    </w:p>
    <w:p>
      <w:pPr>
        <w:pStyle w:val="ListParagraph"/>
        <w:numPr>
          <w:ilvl w:val="0"/>
          <w:numId w:val="2"/>
        </w:numPr>
        <w:tabs>
          <w:tab w:pos="2976" w:val="left" w:leader="none"/>
        </w:tabs>
        <w:spacing w:line="240" w:lineRule="auto" w:before="120" w:after="0"/>
        <w:ind w:left="1986" w:right="143" w:firstLine="567"/>
        <w:jc w:val="both"/>
        <w:rPr>
          <w:sz w:val="24"/>
        </w:rPr>
      </w:pPr>
      <w:r>
        <w:rPr>
          <w:sz w:val="24"/>
        </w:rPr>
        <w:t>– a implementação de programas de conformidade tributária, autorregularização ou renegociação de débitos;</w:t>
      </w:r>
    </w:p>
    <w:p>
      <w:pPr>
        <w:pStyle w:val="ListParagraph"/>
        <w:numPr>
          <w:ilvl w:val="0"/>
          <w:numId w:val="2"/>
        </w:numPr>
        <w:tabs>
          <w:tab w:pos="2792" w:val="left" w:leader="none"/>
        </w:tabs>
        <w:spacing w:line="240" w:lineRule="auto" w:before="120" w:after="0"/>
        <w:ind w:left="1986" w:right="140" w:firstLine="567"/>
        <w:jc w:val="both"/>
        <w:rPr>
          <w:sz w:val="24"/>
        </w:rPr>
      </w:pPr>
      <w:r>
        <w:rPr>
          <w:sz w:val="24"/>
        </w:rPr>
        <w:t>– a celebração de convênios, ajustes, protocolos, termos de cooperação ou quaisquer deliberações no âmbito do Conselho Nacional de Política Fazendária – CONFAZ;</w:t>
      </w:r>
    </w:p>
    <w:p>
      <w:pPr>
        <w:pStyle w:val="ListParagraph"/>
        <w:numPr>
          <w:ilvl w:val="0"/>
          <w:numId w:val="2"/>
        </w:numPr>
        <w:tabs>
          <w:tab w:pos="2928" w:val="left" w:leader="none"/>
        </w:tabs>
        <w:spacing w:line="240" w:lineRule="auto" w:before="121" w:after="0"/>
        <w:ind w:left="1986" w:right="141" w:firstLine="567"/>
        <w:jc w:val="both"/>
        <w:rPr>
          <w:sz w:val="24"/>
        </w:rPr>
      </w:pPr>
      <w:r>
        <w:rPr>
          <w:sz w:val="24"/>
        </w:rPr>
        <w:t>– transferências voluntárias, compensações financeiras, auxílios, participações governamentais, dividendos, resultados de empresas estatais ou outras receitas patrimoniais;</w:t>
      </w:r>
    </w:p>
    <w:p>
      <w:pPr>
        <w:pStyle w:val="ListParagraph"/>
        <w:numPr>
          <w:ilvl w:val="0"/>
          <w:numId w:val="2"/>
        </w:numPr>
        <w:tabs>
          <w:tab w:pos="3013" w:val="left" w:leader="none"/>
        </w:tabs>
        <w:spacing w:line="240" w:lineRule="auto" w:before="120" w:after="0"/>
        <w:ind w:left="1986" w:right="143" w:firstLine="567"/>
        <w:jc w:val="both"/>
        <w:rPr>
          <w:sz w:val="24"/>
        </w:rPr>
      </w:pPr>
      <w:r>
        <w:rPr>
          <w:sz w:val="24"/>
        </w:rPr>
        <w:t>– a criação, a destinação ou a utilização de fundos, reservas, programas de equalização fiscal ou mecanismos </w:t>
      </w:r>
      <w:r>
        <w:rPr>
          <w:spacing w:val="-2"/>
          <w:sz w:val="24"/>
        </w:rPr>
        <w:t>compensatórios;</w:t>
      </w:r>
    </w:p>
    <w:p>
      <w:pPr>
        <w:pStyle w:val="ListParagraph"/>
        <w:numPr>
          <w:ilvl w:val="0"/>
          <w:numId w:val="2"/>
        </w:numPr>
        <w:tabs>
          <w:tab w:pos="3012" w:val="left" w:leader="none"/>
        </w:tabs>
        <w:spacing w:line="240" w:lineRule="auto" w:before="120" w:after="0"/>
        <w:ind w:left="1986" w:right="142" w:firstLine="567"/>
        <w:jc w:val="both"/>
        <w:rPr>
          <w:sz w:val="24"/>
        </w:rPr>
      </w:pPr>
      <w:r>
        <w:rPr>
          <w:sz w:val="24"/>
        </w:rPr>
        <w:t>–</w:t>
      </w:r>
      <w:r>
        <w:rPr>
          <w:spacing w:val="-15"/>
          <w:sz w:val="24"/>
        </w:rPr>
        <w:t> </w:t>
      </w:r>
      <w:r>
        <w:rPr>
          <w:sz w:val="24"/>
        </w:rPr>
        <w:t>outras</w:t>
      </w:r>
      <w:r>
        <w:rPr>
          <w:spacing w:val="-13"/>
          <w:sz w:val="24"/>
        </w:rPr>
        <w:t> </w:t>
      </w:r>
      <w:r>
        <w:rPr>
          <w:sz w:val="24"/>
        </w:rPr>
        <w:t>fontes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custeio,</w:t>
      </w:r>
      <w:r>
        <w:rPr>
          <w:spacing w:val="-15"/>
          <w:sz w:val="24"/>
        </w:rPr>
        <w:t> </w:t>
      </w:r>
      <w:r>
        <w:rPr>
          <w:sz w:val="24"/>
        </w:rPr>
        <w:t>compensação</w:t>
      </w:r>
      <w:r>
        <w:rPr>
          <w:spacing w:val="-15"/>
          <w:sz w:val="24"/>
        </w:rPr>
        <w:t> </w:t>
      </w:r>
      <w:r>
        <w:rPr>
          <w:sz w:val="24"/>
        </w:rPr>
        <w:t>ou</w:t>
      </w:r>
      <w:r>
        <w:rPr>
          <w:spacing w:val="-14"/>
          <w:sz w:val="24"/>
        </w:rPr>
        <w:t> </w:t>
      </w:r>
      <w:r>
        <w:rPr>
          <w:sz w:val="24"/>
        </w:rPr>
        <w:t>reorganização fiscal e orçamentária reputadas adequadas pelo Poder Executivo.”</w:t>
      </w:r>
    </w:p>
    <w:p>
      <w:pPr>
        <w:pStyle w:val="BodyText"/>
        <w:spacing w:before="241"/>
        <w:rPr>
          <w:sz w:val="24"/>
        </w:rPr>
      </w:pPr>
    </w:p>
    <w:p>
      <w:pPr>
        <w:spacing w:before="0"/>
        <w:ind w:left="0" w:right="227" w:firstLine="0"/>
        <w:jc w:val="center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520768">
                <wp:simplePos x="0" y="0"/>
                <wp:positionH relativeFrom="page">
                  <wp:posOffset>3987548</wp:posOffset>
                </wp:positionH>
                <wp:positionV relativeFrom="paragraph">
                  <wp:posOffset>1063074</wp:posOffset>
                </wp:positionV>
                <wp:extent cx="676275" cy="67119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76275" cy="671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275" h="671195">
                              <a:moveTo>
                                <a:pt x="121789" y="529134"/>
                              </a:moveTo>
                              <a:lnTo>
                                <a:pt x="62991" y="567365"/>
                              </a:lnTo>
                              <a:lnTo>
                                <a:pt x="25544" y="604306"/>
                              </a:lnTo>
                              <a:lnTo>
                                <a:pt x="5773" y="636345"/>
                              </a:lnTo>
                              <a:lnTo>
                                <a:pt x="0" y="659869"/>
                              </a:lnTo>
                              <a:lnTo>
                                <a:pt x="4332" y="668577"/>
                              </a:lnTo>
                              <a:lnTo>
                                <a:pt x="8211" y="670876"/>
                              </a:lnTo>
                              <a:lnTo>
                                <a:pt x="53586" y="670876"/>
                              </a:lnTo>
                              <a:lnTo>
                                <a:pt x="55475" y="669502"/>
                              </a:lnTo>
                              <a:lnTo>
                                <a:pt x="13073" y="669502"/>
                              </a:lnTo>
                              <a:lnTo>
                                <a:pt x="19029" y="644473"/>
                              </a:lnTo>
                              <a:lnTo>
                                <a:pt x="41112" y="609123"/>
                              </a:lnTo>
                              <a:lnTo>
                                <a:pt x="76344" y="568883"/>
                              </a:lnTo>
                              <a:lnTo>
                                <a:pt x="121789" y="529134"/>
                              </a:lnTo>
                              <a:close/>
                            </a:path>
                            <a:path w="676275" h="671195">
                              <a:moveTo>
                                <a:pt x="288992" y="0"/>
                              </a:moveTo>
                              <a:lnTo>
                                <a:pt x="275467" y="9031"/>
                              </a:lnTo>
                              <a:lnTo>
                                <a:pt x="268522" y="29931"/>
                              </a:lnTo>
                              <a:lnTo>
                                <a:pt x="265963" y="53412"/>
                              </a:lnTo>
                              <a:lnTo>
                                <a:pt x="265598" y="70184"/>
                              </a:lnTo>
                              <a:lnTo>
                                <a:pt x="266092" y="85354"/>
                              </a:lnTo>
                              <a:lnTo>
                                <a:pt x="272478" y="136928"/>
                              </a:lnTo>
                              <a:lnTo>
                                <a:pt x="284090" y="192469"/>
                              </a:lnTo>
                              <a:lnTo>
                                <a:pt x="288992" y="211240"/>
                              </a:lnTo>
                              <a:lnTo>
                                <a:pt x="285416" y="228207"/>
                              </a:lnTo>
                              <a:lnTo>
                                <a:pt x="259523" y="298809"/>
                              </a:lnTo>
                              <a:lnTo>
                                <a:pt x="239017" y="346869"/>
                              </a:lnTo>
                              <a:lnTo>
                                <a:pt x="214679" y="399716"/>
                              </a:lnTo>
                              <a:lnTo>
                                <a:pt x="187415" y="454563"/>
                              </a:lnTo>
                              <a:lnTo>
                                <a:pt x="158199" y="508491"/>
                              </a:lnTo>
                              <a:lnTo>
                                <a:pt x="127727" y="559103"/>
                              </a:lnTo>
                              <a:lnTo>
                                <a:pt x="97115" y="603220"/>
                              </a:lnTo>
                              <a:lnTo>
                                <a:pt x="67199" y="638185"/>
                              </a:lnTo>
                              <a:lnTo>
                                <a:pt x="13073" y="669502"/>
                              </a:lnTo>
                              <a:lnTo>
                                <a:pt x="55475" y="669502"/>
                              </a:lnTo>
                              <a:lnTo>
                                <a:pt x="78358" y="652861"/>
                              </a:lnTo>
                              <a:lnTo>
                                <a:pt x="109844" y="618848"/>
                              </a:lnTo>
                              <a:lnTo>
                                <a:pt x="146285" y="568883"/>
                              </a:lnTo>
                              <a:lnTo>
                                <a:pt x="187845" y="501610"/>
                              </a:lnTo>
                              <a:lnTo>
                                <a:pt x="194310" y="499546"/>
                              </a:lnTo>
                              <a:lnTo>
                                <a:pt x="187845" y="499546"/>
                              </a:lnTo>
                              <a:lnTo>
                                <a:pt x="228320" y="426268"/>
                              </a:lnTo>
                              <a:lnTo>
                                <a:pt x="257831" y="366796"/>
                              </a:lnTo>
                              <a:lnTo>
                                <a:pt x="278456" y="318917"/>
                              </a:lnTo>
                              <a:lnTo>
                                <a:pt x="292279" y="280417"/>
                              </a:lnTo>
                              <a:lnTo>
                                <a:pt x="301378" y="249085"/>
                              </a:lnTo>
                              <a:lnTo>
                                <a:pt x="325530" y="249085"/>
                              </a:lnTo>
                              <a:lnTo>
                                <a:pt x="310323" y="209176"/>
                              </a:lnTo>
                              <a:lnTo>
                                <a:pt x="315294" y="174084"/>
                              </a:lnTo>
                              <a:lnTo>
                                <a:pt x="301378" y="174084"/>
                              </a:lnTo>
                              <a:lnTo>
                                <a:pt x="293465" y="143894"/>
                              </a:lnTo>
                              <a:lnTo>
                                <a:pt x="288132" y="114737"/>
                              </a:lnTo>
                              <a:lnTo>
                                <a:pt x="285122" y="87386"/>
                              </a:lnTo>
                              <a:lnTo>
                                <a:pt x="284176" y="62615"/>
                              </a:lnTo>
                              <a:lnTo>
                                <a:pt x="284310" y="56422"/>
                              </a:lnTo>
                              <a:lnTo>
                                <a:pt x="284402" y="52218"/>
                              </a:lnTo>
                              <a:lnTo>
                                <a:pt x="285982" y="34662"/>
                              </a:lnTo>
                              <a:lnTo>
                                <a:pt x="290272" y="16460"/>
                              </a:lnTo>
                              <a:lnTo>
                                <a:pt x="298625" y="4128"/>
                              </a:lnTo>
                              <a:lnTo>
                                <a:pt x="315385" y="4128"/>
                              </a:lnTo>
                              <a:lnTo>
                                <a:pt x="306538" y="688"/>
                              </a:lnTo>
                              <a:lnTo>
                                <a:pt x="288992" y="0"/>
                              </a:lnTo>
                              <a:close/>
                            </a:path>
                            <a:path w="676275" h="671195">
                              <a:moveTo>
                                <a:pt x="668811" y="498170"/>
                              </a:moveTo>
                              <a:lnTo>
                                <a:pt x="649545" y="498170"/>
                              </a:lnTo>
                              <a:lnTo>
                                <a:pt x="641976" y="505051"/>
                              </a:lnTo>
                              <a:lnTo>
                                <a:pt x="641976" y="523629"/>
                              </a:lnTo>
                              <a:lnTo>
                                <a:pt x="649545" y="530510"/>
                              </a:lnTo>
                              <a:lnTo>
                                <a:pt x="668811" y="530510"/>
                              </a:lnTo>
                              <a:lnTo>
                                <a:pt x="672252" y="527069"/>
                              </a:lnTo>
                              <a:lnTo>
                                <a:pt x="651609" y="527069"/>
                              </a:lnTo>
                              <a:lnTo>
                                <a:pt x="645417" y="521565"/>
                              </a:lnTo>
                              <a:lnTo>
                                <a:pt x="645417" y="507115"/>
                              </a:lnTo>
                              <a:lnTo>
                                <a:pt x="651609" y="501610"/>
                              </a:lnTo>
                              <a:lnTo>
                                <a:pt x="672252" y="501610"/>
                              </a:lnTo>
                              <a:lnTo>
                                <a:pt x="668811" y="498170"/>
                              </a:lnTo>
                              <a:close/>
                            </a:path>
                            <a:path w="676275" h="671195">
                              <a:moveTo>
                                <a:pt x="672252" y="501610"/>
                              </a:moveTo>
                              <a:lnTo>
                                <a:pt x="666747" y="501610"/>
                              </a:lnTo>
                              <a:lnTo>
                                <a:pt x="671564" y="507115"/>
                              </a:lnTo>
                              <a:lnTo>
                                <a:pt x="671564" y="521565"/>
                              </a:lnTo>
                              <a:lnTo>
                                <a:pt x="666747" y="527069"/>
                              </a:lnTo>
                              <a:lnTo>
                                <a:pt x="672252" y="527069"/>
                              </a:lnTo>
                              <a:lnTo>
                                <a:pt x="675692" y="523629"/>
                              </a:lnTo>
                              <a:lnTo>
                                <a:pt x="675692" y="505051"/>
                              </a:lnTo>
                              <a:lnTo>
                                <a:pt x="672252" y="501610"/>
                              </a:lnTo>
                              <a:close/>
                            </a:path>
                            <a:path w="676275" h="671195">
                              <a:moveTo>
                                <a:pt x="663307" y="503675"/>
                              </a:moveTo>
                              <a:lnTo>
                                <a:pt x="652298" y="503675"/>
                              </a:lnTo>
                              <a:lnTo>
                                <a:pt x="652298" y="523629"/>
                              </a:lnTo>
                              <a:lnTo>
                                <a:pt x="655738" y="523629"/>
                              </a:lnTo>
                              <a:lnTo>
                                <a:pt x="655738" y="516060"/>
                              </a:lnTo>
                              <a:lnTo>
                                <a:pt x="664454" y="516060"/>
                              </a:lnTo>
                              <a:lnTo>
                                <a:pt x="663995" y="515372"/>
                              </a:lnTo>
                              <a:lnTo>
                                <a:pt x="661931" y="514684"/>
                              </a:lnTo>
                              <a:lnTo>
                                <a:pt x="666059" y="513308"/>
                              </a:lnTo>
                              <a:lnTo>
                                <a:pt x="655738" y="513308"/>
                              </a:lnTo>
                              <a:lnTo>
                                <a:pt x="655738" y="507803"/>
                              </a:lnTo>
                              <a:lnTo>
                                <a:pt x="665600" y="507803"/>
                              </a:lnTo>
                              <a:lnTo>
                                <a:pt x="665486" y="507115"/>
                              </a:lnTo>
                              <a:lnTo>
                                <a:pt x="665371" y="506427"/>
                              </a:lnTo>
                              <a:lnTo>
                                <a:pt x="663307" y="503675"/>
                              </a:lnTo>
                              <a:close/>
                            </a:path>
                            <a:path w="676275" h="671195">
                              <a:moveTo>
                                <a:pt x="664454" y="516060"/>
                              </a:moveTo>
                              <a:lnTo>
                                <a:pt x="659866" y="516060"/>
                              </a:lnTo>
                              <a:lnTo>
                                <a:pt x="661243" y="518124"/>
                              </a:lnTo>
                              <a:lnTo>
                                <a:pt x="661931" y="520188"/>
                              </a:lnTo>
                              <a:lnTo>
                                <a:pt x="662619" y="523629"/>
                              </a:lnTo>
                              <a:lnTo>
                                <a:pt x="666059" y="523629"/>
                              </a:lnTo>
                              <a:lnTo>
                                <a:pt x="665371" y="520188"/>
                              </a:lnTo>
                              <a:lnTo>
                                <a:pt x="665371" y="517436"/>
                              </a:lnTo>
                              <a:lnTo>
                                <a:pt x="664454" y="516060"/>
                              </a:lnTo>
                              <a:close/>
                            </a:path>
                            <a:path w="676275" h="671195">
                              <a:moveTo>
                                <a:pt x="665600" y="507803"/>
                              </a:moveTo>
                              <a:lnTo>
                                <a:pt x="660554" y="507803"/>
                              </a:lnTo>
                              <a:lnTo>
                                <a:pt x="661931" y="508491"/>
                              </a:lnTo>
                              <a:lnTo>
                                <a:pt x="661931" y="512620"/>
                              </a:lnTo>
                              <a:lnTo>
                                <a:pt x="659866" y="513308"/>
                              </a:lnTo>
                              <a:lnTo>
                                <a:pt x="666059" y="513308"/>
                              </a:lnTo>
                              <a:lnTo>
                                <a:pt x="666059" y="510555"/>
                              </a:lnTo>
                              <a:lnTo>
                                <a:pt x="665737" y="508621"/>
                              </a:lnTo>
                              <a:lnTo>
                                <a:pt x="665715" y="508491"/>
                              </a:lnTo>
                              <a:lnTo>
                                <a:pt x="665600" y="507803"/>
                              </a:lnTo>
                              <a:close/>
                            </a:path>
                            <a:path w="676275" h="671195">
                              <a:moveTo>
                                <a:pt x="325530" y="249085"/>
                              </a:moveTo>
                              <a:lnTo>
                                <a:pt x="301378" y="249085"/>
                              </a:lnTo>
                              <a:lnTo>
                                <a:pt x="330844" y="310808"/>
                              </a:lnTo>
                              <a:lnTo>
                                <a:pt x="361730" y="356612"/>
                              </a:lnTo>
                              <a:lnTo>
                                <a:pt x="391989" y="389238"/>
                              </a:lnTo>
                              <a:lnTo>
                                <a:pt x="419573" y="411428"/>
                              </a:lnTo>
                              <a:lnTo>
                                <a:pt x="442434" y="425921"/>
                              </a:lnTo>
                              <a:lnTo>
                                <a:pt x="393233" y="435428"/>
                              </a:lnTo>
                              <a:lnTo>
                                <a:pt x="342117" y="447478"/>
                              </a:lnTo>
                              <a:lnTo>
                                <a:pt x="290143" y="462136"/>
                              </a:lnTo>
                              <a:lnTo>
                                <a:pt x="238366" y="479471"/>
                              </a:lnTo>
                              <a:lnTo>
                                <a:pt x="187845" y="499546"/>
                              </a:lnTo>
                              <a:lnTo>
                                <a:pt x="194310" y="499546"/>
                              </a:lnTo>
                              <a:lnTo>
                                <a:pt x="229866" y="488193"/>
                              </a:lnTo>
                              <a:lnTo>
                                <a:pt x="274900" y="476151"/>
                              </a:lnTo>
                              <a:lnTo>
                                <a:pt x="322708" y="465400"/>
                              </a:lnTo>
                              <a:lnTo>
                                <a:pt x="371281" y="456299"/>
                              </a:lnTo>
                              <a:lnTo>
                                <a:pt x="420007" y="448842"/>
                              </a:lnTo>
                              <a:lnTo>
                                <a:pt x="467893" y="443123"/>
                              </a:lnTo>
                              <a:lnTo>
                                <a:pt x="519559" y="443123"/>
                              </a:lnTo>
                              <a:lnTo>
                                <a:pt x="508489" y="438307"/>
                              </a:lnTo>
                              <a:lnTo>
                                <a:pt x="555160" y="436167"/>
                              </a:lnTo>
                              <a:lnTo>
                                <a:pt x="661658" y="436167"/>
                              </a:lnTo>
                              <a:lnTo>
                                <a:pt x="643783" y="426523"/>
                              </a:lnTo>
                              <a:lnTo>
                                <a:pt x="618118" y="421105"/>
                              </a:lnTo>
                              <a:lnTo>
                                <a:pt x="478214" y="421105"/>
                              </a:lnTo>
                              <a:lnTo>
                                <a:pt x="462248" y="411966"/>
                              </a:lnTo>
                              <a:lnTo>
                                <a:pt x="416287" y="381196"/>
                              </a:lnTo>
                              <a:lnTo>
                                <a:pt x="382119" y="346480"/>
                              </a:lnTo>
                              <a:lnTo>
                                <a:pt x="352984" y="304733"/>
                              </a:lnTo>
                              <a:lnTo>
                                <a:pt x="329067" y="258326"/>
                              </a:lnTo>
                              <a:lnTo>
                                <a:pt x="325530" y="249085"/>
                              </a:lnTo>
                              <a:close/>
                            </a:path>
                            <a:path w="676275" h="671195">
                              <a:moveTo>
                                <a:pt x="519559" y="443123"/>
                              </a:moveTo>
                              <a:lnTo>
                                <a:pt x="467893" y="443123"/>
                              </a:lnTo>
                              <a:lnTo>
                                <a:pt x="513048" y="463529"/>
                              </a:lnTo>
                              <a:lnTo>
                                <a:pt x="557687" y="478904"/>
                              </a:lnTo>
                              <a:lnTo>
                                <a:pt x="598713" y="488601"/>
                              </a:lnTo>
                              <a:lnTo>
                                <a:pt x="633031" y="491977"/>
                              </a:lnTo>
                              <a:lnTo>
                                <a:pt x="647234" y="491053"/>
                              </a:lnTo>
                              <a:lnTo>
                                <a:pt x="657888" y="488193"/>
                              </a:lnTo>
                              <a:lnTo>
                                <a:pt x="665059" y="483269"/>
                              </a:lnTo>
                              <a:lnTo>
                                <a:pt x="666272" y="480968"/>
                              </a:lnTo>
                              <a:lnTo>
                                <a:pt x="647481" y="480968"/>
                              </a:lnTo>
                              <a:lnTo>
                                <a:pt x="620248" y="477882"/>
                              </a:lnTo>
                              <a:lnTo>
                                <a:pt x="586500" y="469184"/>
                              </a:lnTo>
                              <a:lnTo>
                                <a:pt x="548494" y="455713"/>
                              </a:lnTo>
                              <a:lnTo>
                                <a:pt x="519559" y="443123"/>
                              </a:lnTo>
                              <a:close/>
                            </a:path>
                            <a:path w="676275" h="671195">
                              <a:moveTo>
                                <a:pt x="668811" y="476151"/>
                              </a:moveTo>
                              <a:lnTo>
                                <a:pt x="663995" y="478216"/>
                              </a:lnTo>
                              <a:lnTo>
                                <a:pt x="656426" y="480968"/>
                              </a:lnTo>
                              <a:lnTo>
                                <a:pt x="666272" y="480968"/>
                              </a:lnTo>
                              <a:lnTo>
                                <a:pt x="668811" y="476151"/>
                              </a:lnTo>
                              <a:close/>
                            </a:path>
                            <a:path w="676275" h="671195">
                              <a:moveTo>
                                <a:pt x="661658" y="436167"/>
                              </a:moveTo>
                              <a:lnTo>
                                <a:pt x="555160" y="436167"/>
                              </a:lnTo>
                              <a:lnTo>
                                <a:pt x="609379" y="437705"/>
                              </a:lnTo>
                              <a:lnTo>
                                <a:pt x="653921" y="447112"/>
                              </a:lnTo>
                              <a:lnTo>
                                <a:pt x="671564" y="468582"/>
                              </a:lnTo>
                              <a:lnTo>
                                <a:pt x="673628" y="463766"/>
                              </a:lnTo>
                              <a:lnTo>
                                <a:pt x="675701" y="461702"/>
                              </a:lnTo>
                              <a:lnTo>
                                <a:pt x="675701" y="456885"/>
                              </a:lnTo>
                              <a:lnTo>
                                <a:pt x="667317" y="439221"/>
                              </a:lnTo>
                              <a:lnTo>
                                <a:pt x="661658" y="436167"/>
                              </a:lnTo>
                              <a:close/>
                            </a:path>
                            <a:path w="676275" h="671195">
                              <a:moveTo>
                                <a:pt x="560783" y="416288"/>
                              </a:moveTo>
                              <a:lnTo>
                                <a:pt x="542366" y="416751"/>
                              </a:lnTo>
                              <a:lnTo>
                                <a:pt x="522337" y="417922"/>
                              </a:lnTo>
                              <a:lnTo>
                                <a:pt x="478214" y="421105"/>
                              </a:lnTo>
                              <a:lnTo>
                                <a:pt x="618118" y="421105"/>
                              </a:lnTo>
                              <a:lnTo>
                                <a:pt x="607476" y="418858"/>
                              </a:lnTo>
                              <a:lnTo>
                                <a:pt x="560783" y="416288"/>
                              </a:lnTo>
                              <a:close/>
                            </a:path>
                            <a:path w="676275" h="671195">
                              <a:moveTo>
                                <a:pt x="322020" y="56422"/>
                              </a:moveTo>
                              <a:lnTo>
                                <a:pt x="318311" y="76742"/>
                              </a:lnTo>
                              <a:lnTo>
                                <a:pt x="314021" y="102868"/>
                              </a:lnTo>
                              <a:lnTo>
                                <a:pt x="308570" y="135186"/>
                              </a:lnTo>
                              <a:lnTo>
                                <a:pt x="301473" y="173568"/>
                              </a:lnTo>
                              <a:lnTo>
                                <a:pt x="301378" y="174084"/>
                              </a:lnTo>
                              <a:lnTo>
                                <a:pt x="315294" y="174084"/>
                              </a:lnTo>
                              <a:lnTo>
                                <a:pt x="315924" y="169633"/>
                              </a:lnTo>
                              <a:lnTo>
                                <a:pt x="319010" y="131767"/>
                              </a:lnTo>
                              <a:lnTo>
                                <a:pt x="320676" y="94417"/>
                              </a:lnTo>
                              <a:lnTo>
                                <a:pt x="322020" y="56422"/>
                              </a:lnTo>
                              <a:close/>
                            </a:path>
                            <a:path w="676275" h="671195">
                              <a:moveTo>
                                <a:pt x="315385" y="4128"/>
                              </a:moveTo>
                              <a:lnTo>
                                <a:pt x="298625" y="4128"/>
                              </a:lnTo>
                              <a:lnTo>
                                <a:pt x="306054" y="8816"/>
                              </a:lnTo>
                              <a:lnTo>
                                <a:pt x="313220" y="16460"/>
                              </a:lnTo>
                              <a:lnTo>
                                <a:pt x="318848" y="27738"/>
                              </a:lnTo>
                              <a:lnTo>
                                <a:pt x="322020" y="44037"/>
                              </a:lnTo>
                              <a:lnTo>
                                <a:pt x="324600" y="18578"/>
                              </a:lnTo>
                              <a:lnTo>
                                <a:pt x="318924" y="5504"/>
                              </a:lnTo>
                              <a:lnTo>
                                <a:pt x="315385" y="41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3.980194pt;margin-top:83.706665pt;width:53.25pt;height:52.85pt;mso-position-horizontal-relative:page;mso-position-vertical-relative:paragraph;z-index:-15795712" id="docshape2" coordorigin="6280,1674" coordsize="1065,1057" path="m6471,2507l6379,2568,6320,2626,6289,2676,6280,2713,6286,2727,6293,2731,6364,2731,6367,2728,6300,2728,6310,2689,6344,2633,6400,2570,6471,2507xm6735,1674l6713,1688,6702,1721,6698,1758,6698,1785,6699,1809,6701,1834,6704,1862,6709,1890,6714,1918,6720,1947,6727,1977,6735,2007,6729,2034,6713,2081,6688,2145,6656,2220,6618,2304,6575,2390,6529,2475,6481,2555,6433,2624,6385,2679,6341,2715,6300,2728,6367,2728,6403,2702,6453,2649,6510,2570,6575,2464,6586,2461,6575,2461,6639,2345,6686,2252,6718,2176,6740,2116,6754,2066,6792,2066,6768,2004,6776,1948,6754,1948,6742,1901,6733,1855,6729,1812,6727,1773,6727,1763,6727,1756,6730,1729,6737,1700,6750,1681,6776,1681,6762,1675,6735,1674xm7333,2459l7303,2459,7291,2469,7291,2499,7303,2510,7333,2510,7338,2504,7306,2504,7296,2495,7296,2473,7306,2464,7338,2464,7333,2459xm7338,2464l7330,2464,7337,2473,7337,2495,7330,2504,7338,2504,7344,2499,7344,2469,7338,2464xm7324,2467l7307,2467,7307,2499,7312,2499,7312,2487,7326,2487,7325,2486,7322,2485,7329,2482,7312,2482,7312,2474,7328,2474,7328,2473,7327,2472,7324,2467xm7326,2487l7319,2487,7321,2490,7322,2493,7323,2499,7329,2499,7327,2493,7327,2489,7326,2487xm7328,2474l7320,2474,7322,2475,7322,2481,7319,2482,7329,2482,7329,2478,7328,2475,7328,2475,7328,2474xm6792,2066l6754,2066,6801,2164,6849,2236,6897,2287,6940,2322,6976,2345,6899,2360,6818,2379,6737,2402,6655,2429,6575,2461,6586,2461,6642,2443,6713,2424,6788,2407,6864,2393,6941,2381,7016,2372,7098,2372,7080,2364,7154,2361,7322,2361,7293,2346,7253,2337,7033,2337,7008,2323,6983,2307,6958,2291,6935,2274,6881,2220,6835,2154,6798,2081,6792,2066xm7098,2372l7016,2372,7088,2404,7158,2428,7222,2444,7277,2449,7299,2447,7316,2443,7327,2435,7329,2432,7299,2432,7256,2427,7203,2413,7143,2392,7098,2372xm7333,2424l7325,2427,7313,2432,7329,2432,7333,2424xm7322,2361l7154,2361,7239,2363,7309,2378,7337,2412,7340,2404,7344,2401,7344,2394,7330,2366,7322,2361xm7163,2330l7134,2330,7102,2332,7033,2337,7253,2337,7236,2334,7163,2330xm6787,1763l6781,1795,6774,1836,6766,1887,6754,1947,6754,1948,6776,1948,6777,1941,6782,1882,6785,1823,6787,1763xm6776,1681l6750,1681,6762,1688,6773,1700,6782,1718,6787,1743,6791,1703,6782,1683,6776,1681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sz w:val="24"/>
        </w:rPr>
        <w:t>Art.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3° </w:t>
      </w:r>
      <w:r>
        <w:rPr>
          <w:sz w:val="24"/>
        </w:rPr>
        <w:t>Esta</w:t>
      </w:r>
      <w:r>
        <w:rPr>
          <w:spacing w:val="-1"/>
          <w:sz w:val="24"/>
        </w:rPr>
        <w:t> </w:t>
      </w:r>
      <w:r>
        <w:rPr>
          <w:sz w:val="24"/>
        </w:rPr>
        <w:t>Lei entra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vigor na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publicação.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708" w:footer="0" w:top="2640" w:bottom="280" w:left="1700" w:right="1559"/>
        </w:sectPr>
      </w:pPr>
    </w:p>
    <w:p>
      <w:pPr>
        <w:spacing w:line="254" w:lineRule="auto" w:before="134"/>
        <w:ind w:left="3045" w:right="0" w:firstLine="0"/>
        <w:jc w:val="left"/>
        <w:rPr>
          <w:rFonts w:ascii="Trebuchet MS"/>
          <w:sz w:val="24"/>
        </w:rPr>
      </w:pPr>
      <w:r>
        <w:rPr>
          <w:rFonts w:ascii="Trebuchet MS"/>
          <w:spacing w:val="-2"/>
          <w:sz w:val="24"/>
        </w:rPr>
        <w:t>OTHELINO</w:t>
      </w:r>
      <w:r>
        <w:rPr>
          <w:rFonts w:ascii="Trebuchet MS"/>
          <w:spacing w:val="-21"/>
          <w:sz w:val="24"/>
        </w:rPr>
        <w:t> </w:t>
      </w:r>
      <w:r>
        <w:rPr>
          <w:rFonts w:ascii="Trebuchet MS"/>
          <w:spacing w:val="-2"/>
          <w:sz w:val="24"/>
        </w:rPr>
        <w:t>NOVA ALVES</w:t>
      </w:r>
    </w:p>
    <w:p>
      <w:pPr>
        <w:spacing w:line="249" w:lineRule="auto" w:before="98"/>
        <w:ind w:left="316" w:right="1514" w:firstLine="0"/>
        <w:jc w:val="left"/>
        <w:rPr>
          <w:rFonts w:ascii="Trebuchet MS"/>
          <w:sz w:val="17"/>
        </w:rPr>
      </w:pPr>
      <w:r>
        <w:rPr/>
        <w:br w:type="column"/>
      </w:r>
      <w:r>
        <w:rPr>
          <w:rFonts w:ascii="Trebuchet MS"/>
          <w:sz w:val="17"/>
        </w:rPr>
        <w:t>Assinado de forma digital </w:t>
      </w:r>
      <w:r>
        <w:rPr>
          <w:rFonts w:ascii="Trebuchet MS"/>
          <w:spacing w:val="-2"/>
          <w:sz w:val="17"/>
        </w:rPr>
        <w:t>por</w:t>
      </w:r>
      <w:r>
        <w:rPr>
          <w:rFonts w:ascii="Trebuchet MS"/>
          <w:spacing w:val="-16"/>
          <w:sz w:val="17"/>
        </w:rPr>
        <w:t> </w:t>
      </w:r>
      <w:r>
        <w:rPr>
          <w:rFonts w:ascii="Trebuchet MS"/>
          <w:spacing w:val="-2"/>
          <w:sz w:val="17"/>
        </w:rPr>
        <w:t>OTHELINO</w:t>
      </w:r>
      <w:r>
        <w:rPr>
          <w:rFonts w:ascii="Trebuchet MS"/>
          <w:spacing w:val="-16"/>
          <w:sz w:val="17"/>
        </w:rPr>
        <w:t> </w:t>
      </w:r>
      <w:r>
        <w:rPr>
          <w:rFonts w:ascii="Trebuchet MS"/>
          <w:spacing w:val="-2"/>
          <w:sz w:val="17"/>
        </w:rPr>
        <w:t>NOVA</w:t>
      </w:r>
      <w:r>
        <w:rPr>
          <w:rFonts w:ascii="Trebuchet MS"/>
          <w:spacing w:val="-16"/>
          <w:sz w:val="17"/>
        </w:rPr>
        <w:t> </w:t>
      </w:r>
      <w:r>
        <w:rPr>
          <w:rFonts w:ascii="Trebuchet MS"/>
          <w:spacing w:val="-2"/>
          <w:sz w:val="17"/>
        </w:rPr>
        <w:t>ALVES NETO:58572538372</w:t>
      </w:r>
    </w:p>
    <w:p>
      <w:pPr>
        <w:spacing w:after="0" w:line="249" w:lineRule="auto"/>
        <w:jc w:val="left"/>
        <w:rPr>
          <w:rFonts w:ascii="Trebuchet MS"/>
          <w:sz w:val="17"/>
        </w:rPr>
        <w:sectPr>
          <w:type w:val="continuous"/>
          <w:pgSz w:w="11910" w:h="16840"/>
          <w:pgMar w:header="708" w:footer="0" w:top="2640" w:bottom="280" w:left="1700" w:right="1559"/>
          <w:cols w:num="2" w:equalWidth="0">
            <w:col w:w="4792" w:space="40"/>
            <w:col w:w="3819"/>
          </w:cols>
        </w:sectPr>
      </w:pPr>
    </w:p>
    <w:p>
      <w:pPr>
        <w:spacing w:line="160" w:lineRule="auto" w:before="29"/>
        <w:ind w:left="3045" w:right="0" w:firstLine="0"/>
        <w:jc w:val="left"/>
        <w:rPr>
          <w:rFonts w:ascii="Trebuchet MS"/>
          <w:sz w:val="17"/>
        </w:rPr>
      </w:pPr>
      <w:r>
        <w:rPr>
          <w:rFonts w:ascii="Trebuchet MS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21280">
                <wp:simplePos x="0" y="0"/>
                <wp:positionH relativeFrom="page">
                  <wp:posOffset>4348803</wp:posOffset>
                </wp:positionH>
                <wp:positionV relativeFrom="paragraph">
                  <wp:posOffset>123584</wp:posOffset>
                </wp:positionV>
                <wp:extent cx="296545" cy="13081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296545" cy="130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3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7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sz w:val="17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7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2.425507pt;margin-top:9.731079pt;width:23.35pt;height:10.3pt;mso-position-horizontal-relative:page;mso-position-vertical-relative:paragraph;z-index:-15795200" type="#_x0000_t202" id="docshape3" filled="false" stroked="false">
                <v:textbox inset="0,0,0,0">
                  <w:txbxContent>
                    <w:p>
                      <w:pPr>
                        <w:spacing w:before="3"/>
                        <w:ind w:left="0" w:right="0" w:firstLine="0"/>
                        <w:jc w:val="left"/>
                        <w:rPr>
                          <w:rFonts w:ascii="Trebuchet MS"/>
                          <w:sz w:val="17"/>
                        </w:rPr>
                      </w:pPr>
                      <w:r>
                        <w:rPr>
                          <w:rFonts w:ascii="Trebuchet MS"/>
                          <w:spacing w:val="-2"/>
                          <w:sz w:val="17"/>
                        </w:rPr>
                        <w:t>-</w:t>
                      </w:r>
                      <w:r>
                        <w:rPr>
                          <w:rFonts w:ascii="Trebuchet MS"/>
                          <w:spacing w:val="-4"/>
                          <w:sz w:val="17"/>
                        </w:rPr>
                        <w:t>03'00'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4"/>
          <w:position w:val="-10"/>
          <w:sz w:val="24"/>
        </w:rPr>
        <w:t>NETO:58572538372</w:t>
      </w:r>
      <w:r>
        <w:rPr>
          <w:rFonts w:ascii="Trebuchet MS"/>
          <w:spacing w:val="-5"/>
          <w:position w:val="-10"/>
          <w:sz w:val="24"/>
        </w:rPr>
        <w:t> </w:t>
      </w:r>
      <w:r>
        <w:rPr>
          <w:rFonts w:ascii="Trebuchet MS"/>
          <w:spacing w:val="-4"/>
          <w:sz w:val="17"/>
        </w:rPr>
        <w:t>Dados:</w:t>
      </w:r>
      <w:r>
        <w:rPr>
          <w:rFonts w:ascii="Trebuchet MS"/>
          <w:spacing w:val="-16"/>
          <w:sz w:val="17"/>
        </w:rPr>
        <w:t> </w:t>
      </w:r>
      <w:r>
        <w:rPr>
          <w:rFonts w:ascii="Trebuchet MS"/>
          <w:spacing w:val="-4"/>
          <w:sz w:val="17"/>
        </w:rPr>
        <w:t>2026.04.15</w:t>
      </w:r>
      <w:r>
        <w:rPr>
          <w:rFonts w:ascii="Trebuchet MS"/>
          <w:spacing w:val="-16"/>
          <w:sz w:val="17"/>
        </w:rPr>
        <w:t> </w:t>
      </w:r>
      <w:r>
        <w:rPr>
          <w:rFonts w:ascii="Trebuchet MS"/>
          <w:spacing w:val="-4"/>
          <w:sz w:val="17"/>
        </w:rPr>
        <w:t>16:18:31</w:t>
      </w:r>
    </w:p>
    <w:p>
      <w:pPr>
        <w:spacing w:after="0" w:line="160" w:lineRule="auto"/>
        <w:jc w:val="left"/>
        <w:rPr>
          <w:rFonts w:ascii="Trebuchet MS"/>
          <w:sz w:val="17"/>
        </w:rPr>
        <w:sectPr>
          <w:type w:val="continuous"/>
          <w:pgSz w:w="11910" w:h="16840"/>
          <w:pgMar w:header="708" w:footer="0" w:top="2640" w:bottom="280" w:left="1700" w:right="1559"/>
        </w:sectPr>
      </w:pPr>
    </w:p>
    <w:p>
      <w:pPr>
        <w:spacing w:before="273"/>
        <w:ind w:left="0" w:right="138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JUSTIFICATIVA</w:t>
      </w:r>
    </w:p>
    <w:p>
      <w:pPr>
        <w:pStyle w:val="BodyText"/>
        <w:spacing w:before="158"/>
        <w:rPr>
          <w:b/>
        </w:rPr>
      </w:pPr>
    </w:p>
    <w:p>
      <w:pPr>
        <w:pStyle w:val="BodyText"/>
        <w:spacing w:line="276" w:lineRule="auto"/>
        <w:ind w:left="2" w:right="139" w:firstLine="1276"/>
        <w:jc w:val="both"/>
      </w:pPr>
      <w:r>
        <w:rPr/>
        <w:t>O presente Projeto de Lei tem por finalidade reduzir, em caráter temporário, até 31 de dezembro de 2026, a carga tributária incidente sobre combustíveis no Estado do Maranhão, como medida de alívio econômico à população e de estímulo à atividade produtiva. A proposta parte da constatação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que</w:t>
      </w:r>
      <w:r>
        <w:rPr>
          <w:spacing w:val="-18"/>
        </w:rPr>
        <w:t> </w:t>
      </w:r>
      <w:r>
        <w:rPr/>
        <w:t>os</w:t>
      </w:r>
      <w:r>
        <w:rPr>
          <w:spacing w:val="-17"/>
        </w:rPr>
        <w:t> </w:t>
      </w:r>
      <w:r>
        <w:rPr/>
        <w:t>combustíveis</w:t>
      </w:r>
      <w:r>
        <w:rPr>
          <w:spacing w:val="-18"/>
        </w:rPr>
        <w:t> </w:t>
      </w:r>
      <w:r>
        <w:rPr/>
        <w:t>possuem</w:t>
      </w:r>
      <w:r>
        <w:rPr>
          <w:spacing w:val="-17"/>
        </w:rPr>
        <w:t> </w:t>
      </w:r>
      <w:r>
        <w:rPr/>
        <w:t>impacto</w:t>
      </w:r>
      <w:r>
        <w:rPr>
          <w:spacing w:val="-18"/>
        </w:rPr>
        <w:t> </w:t>
      </w:r>
      <w:r>
        <w:rPr/>
        <w:t>direto</w:t>
      </w:r>
      <w:r>
        <w:rPr>
          <w:spacing w:val="-17"/>
        </w:rPr>
        <w:t> </w:t>
      </w:r>
      <w:r>
        <w:rPr/>
        <w:t>e</w:t>
      </w:r>
      <w:r>
        <w:rPr>
          <w:spacing w:val="-18"/>
        </w:rPr>
        <w:t> </w:t>
      </w:r>
      <w:r>
        <w:rPr/>
        <w:t>imediato</w:t>
      </w:r>
      <w:r>
        <w:rPr>
          <w:spacing w:val="-17"/>
        </w:rPr>
        <w:t> </w:t>
      </w:r>
      <w:r>
        <w:rPr/>
        <w:t>sobre o custo de vida, uma vez que influenciam não apenas o abastecimento de veículos, mas também o preço do frete, do transporte coletivo, da produção agropecuária, da distribuição de mercadorias e, por consequência, do conjunto de bens e serviços consumidos diariamente pela população.</w:t>
      </w:r>
    </w:p>
    <w:p>
      <w:pPr>
        <w:pStyle w:val="BodyText"/>
        <w:spacing w:line="276" w:lineRule="auto" w:before="163"/>
        <w:ind w:left="2" w:right="140" w:firstLine="1276"/>
        <w:jc w:val="both"/>
      </w:pPr>
      <w:r>
        <w:rPr/>
        <w:t>No</w:t>
      </w:r>
      <w:r>
        <w:rPr>
          <w:spacing w:val="-5"/>
        </w:rPr>
        <w:t> </w:t>
      </w:r>
      <w:r>
        <w:rPr/>
        <w:t>plano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estadual</w:t>
      </w:r>
      <w:r>
        <w:rPr>
          <w:spacing w:val="-4"/>
        </w:rPr>
        <w:t> </w:t>
      </w:r>
      <w:r>
        <w:rPr/>
        <w:t>vigente,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5"/>
        </w:rPr>
        <w:t> </w:t>
      </w:r>
      <w:r>
        <w:rPr/>
        <w:t>7.799,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19</w:t>
      </w:r>
      <w:r>
        <w:rPr>
          <w:spacing w:val="-5"/>
        </w:rPr>
        <w:t> </w:t>
      </w:r>
      <w:r>
        <w:rPr/>
        <w:t>de dezembro de 2002, concentra as alíquotas do ICMS no art. 23, prevendo, entre outros pontos, 16,5% para óleo diesel e biodiesel, 14% para GLP e GLGN e</w:t>
      </w:r>
      <w:r>
        <w:rPr>
          <w:spacing w:val="-1"/>
        </w:rPr>
        <w:t> </w:t>
      </w:r>
      <w:r>
        <w:rPr/>
        <w:t>26% para</w:t>
      </w:r>
      <w:r>
        <w:rPr>
          <w:spacing w:val="-1"/>
        </w:rPr>
        <w:t> </w:t>
      </w:r>
      <w:r>
        <w:rPr/>
        <w:t>álcool anidro e</w:t>
      </w:r>
      <w:r>
        <w:rPr>
          <w:spacing w:val="-1"/>
        </w:rPr>
        <w:t> </w:t>
      </w:r>
      <w:r>
        <w:rPr/>
        <w:t>hidratado.</w:t>
      </w:r>
      <w:r>
        <w:rPr>
          <w:spacing w:val="-3"/>
        </w:rPr>
        <w:t> </w:t>
      </w:r>
      <w:r>
        <w:rPr/>
        <w:t>O mesmo</w:t>
      </w:r>
      <w:r>
        <w:rPr>
          <w:spacing w:val="-1"/>
        </w:rPr>
        <w:t> </w:t>
      </w:r>
      <w:r>
        <w:rPr/>
        <w:t>histórico legislativo mostra que a referência estadual específica à gasolina no art. 23 foi posteriormente revogada, inclusive no contexto das alterações promovidas pela Lei nº 12.120, de 21 de novembro de 2023.</w:t>
      </w:r>
    </w:p>
    <w:p>
      <w:pPr>
        <w:pStyle w:val="BodyText"/>
        <w:spacing w:line="276" w:lineRule="auto" w:before="159"/>
        <w:ind w:left="2" w:right="140" w:firstLine="1276"/>
        <w:jc w:val="both"/>
      </w:pPr>
      <w:r>
        <w:rPr/>
        <w:t>A redução ora proposta se justifica porque a tributação sobre combustíveis</w:t>
      </w:r>
      <w:r>
        <w:rPr>
          <w:spacing w:val="-13"/>
        </w:rPr>
        <w:t> </w:t>
      </w:r>
      <w:r>
        <w:rPr/>
        <w:t>repercute</w:t>
      </w:r>
      <w:r>
        <w:rPr>
          <w:spacing w:val="-13"/>
        </w:rPr>
        <w:t> </w:t>
      </w:r>
      <w:r>
        <w:rPr/>
        <w:t>em</w:t>
      </w:r>
      <w:r>
        <w:rPr>
          <w:spacing w:val="-13"/>
        </w:rPr>
        <w:t> </w:t>
      </w:r>
      <w:r>
        <w:rPr/>
        <w:t>cadeia</w:t>
      </w:r>
      <w:r>
        <w:rPr>
          <w:spacing w:val="-13"/>
        </w:rPr>
        <w:t> </w:t>
      </w:r>
      <w:r>
        <w:rPr/>
        <w:t>sobre</w:t>
      </w:r>
      <w:r>
        <w:rPr>
          <w:spacing w:val="-16"/>
        </w:rPr>
        <w:t> </w:t>
      </w:r>
      <w:r>
        <w:rPr/>
        <w:t>toda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economia.</w:t>
      </w:r>
      <w:r>
        <w:rPr>
          <w:spacing w:val="-16"/>
        </w:rPr>
        <w:t> </w:t>
      </w:r>
      <w:r>
        <w:rPr/>
        <w:t>Quando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/>
        <w:t>custo</w:t>
      </w:r>
      <w:r>
        <w:rPr>
          <w:spacing w:val="-15"/>
        </w:rPr>
        <w:t> </w:t>
      </w:r>
      <w:r>
        <w:rPr/>
        <w:t>do abastecimento</w:t>
      </w:r>
      <w:r>
        <w:rPr>
          <w:spacing w:val="-15"/>
        </w:rPr>
        <w:t> </w:t>
      </w:r>
      <w:r>
        <w:rPr/>
        <w:t>se</w:t>
      </w:r>
      <w:r>
        <w:rPr>
          <w:spacing w:val="-16"/>
        </w:rPr>
        <w:t> </w:t>
      </w:r>
      <w:r>
        <w:rPr/>
        <w:t>eleva,</w:t>
      </w:r>
      <w:r>
        <w:rPr>
          <w:spacing w:val="-16"/>
        </w:rPr>
        <w:t> </w:t>
      </w:r>
      <w:r>
        <w:rPr/>
        <w:t>aumentam</w:t>
      </w:r>
      <w:r>
        <w:rPr>
          <w:spacing w:val="-16"/>
        </w:rPr>
        <w:t> </w:t>
      </w:r>
      <w:r>
        <w:rPr/>
        <w:t>também</w:t>
      </w:r>
      <w:r>
        <w:rPr>
          <w:spacing w:val="-16"/>
        </w:rPr>
        <w:t> </w:t>
      </w:r>
      <w:r>
        <w:rPr/>
        <w:t>os</w:t>
      </w:r>
      <w:r>
        <w:rPr>
          <w:spacing w:val="-15"/>
        </w:rPr>
        <w:t> </w:t>
      </w:r>
      <w:r>
        <w:rPr/>
        <w:t>custos</w:t>
      </w:r>
      <w:r>
        <w:rPr>
          <w:spacing w:val="-15"/>
        </w:rPr>
        <w:t> </w:t>
      </w:r>
      <w:r>
        <w:rPr/>
        <w:t>logísticos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comércio, da indústria, do transporte de passageiros, do setor de serviços e da circulação</w:t>
      </w:r>
      <w:r>
        <w:rPr>
          <w:spacing w:val="-10"/>
        </w:rPr>
        <w:t> </w:t>
      </w:r>
      <w:r>
        <w:rPr/>
        <w:t>de</w:t>
      </w:r>
      <w:r>
        <w:rPr>
          <w:spacing w:val="-13"/>
        </w:rPr>
        <w:t> </w:t>
      </w:r>
      <w:r>
        <w:rPr/>
        <w:t>alimentos</w:t>
      </w:r>
      <w:r>
        <w:rPr>
          <w:spacing w:val="-10"/>
        </w:rPr>
        <w:t> </w:t>
      </w:r>
      <w:r>
        <w:rPr/>
        <w:t>e</w:t>
      </w:r>
      <w:r>
        <w:rPr>
          <w:spacing w:val="-13"/>
        </w:rPr>
        <w:t> </w:t>
      </w:r>
      <w:r>
        <w:rPr/>
        <w:t>insumos</w:t>
      </w:r>
      <w:r>
        <w:rPr>
          <w:spacing w:val="-10"/>
        </w:rPr>
        <w:t> </w:t>
      </w:r>
      <w:r>
        <w:rPr/>
        <w:t>essenciais.</w:t>
      </w:r>
      <w:r>
        <w:rPr>
          <w:spacing w:val="-14"/>
        </w:rPr>
        <w:t> </w:t>
      </w:r>
      <w:r>
        <w:rPr/>
        <w:t>Em</w:t>
      </w:r>
      <w:r>
        <w:rPr>
          <w:spacing w:val="-11"/>
        </w:rPr>
        <w:t> </w:t>
      </w:r>
      <w:r>
        <w:rPr/>
        <w:t>um</w:t>
      </w:r>
      <w:r>
        <w:rPr>
          <w:spacing w:val="-11"/>
        </w:rPr>
        <w:t> </w:t>
      </w:r>
      <w:r>
        <w:rPr/>
        <w:t>estado</w:t>
      </w:r>
      <w:r>
        <w:rPr>
          <w:spacing w:val="-10"/>
        </w:rPr>
        <w:t> </w:t>
      </w:r>
      <w:r>
        <w:rPr/>
        <w:t>com</w:t>
      </w:r>
      <w:r>
        <w:rPr>
          <w:spacing w:val="-14"/>
        </w:rPr>
        <w:t> </w:t>
      </w:r>
      <w:r>
        <w:rPr/>
        <w:t>dimensões </w:t>
      </w:r>
      <w:r>
        <w:rPr>
          <w:spacing w:val="-2"/>
        </w:rPr>
        <w:t>territoriais</w:t>
      </w:r>
      <w:r>
        <w:rPr>
          <w:spacing w:val="-5"/>
        </w:rPr>
        <w:t> </w:t>
      </w:r>
      <w:r>
        <w:rPr>
          <w:spacing w:val="-2"/>
        </w:rPr>
        <w:t>amplas</w:t>
      </w:r>
      <w:r>
        <w:rPr>
          <w:spacing w:val="-5"/>
        </w:rPr>
        <w:t> </w:t>
      </w:r>
      <w:r>
        <w:rPr>
          <w:spacing w:val="-2"/>
        </w:rPr>
        <w:t>e</w:t>
      </w:r>
      <w:r>
        <w:rPr>
          <w:spacing w:val="-6"/>
        </w:rPr>
        <w:t> </w:t>
      </w:r>
      <w:r>
        <w:rPr>
          <w:spacing w:val="-2"/>
        </w:rPr>
        <w:t>forte</w:t>
      </w:r>
      <w:r>
        <w:rPr>
          <w:spacing w:val="-6"/>
        </w:rPr>
        <w:t> </w:t>
      </w:r>
      <w:r>
        <w:rPr>
          <w:spacing w:val="-2"/>
        </w:rPr>
        <w:t>dependência</w:t>
      </w:r>
      <w:r>
        <w:rPr>
          <w:spacing w:val="-6"/>
        </w:rPr>
        <w:t> </w:t>
      </w:r>
      <w:r>
        <w:rPr>
          <w:spacing w:val="-2"/>
        </w:rPr>
        <w:t>do</w:t>
      </w:r>
      <w:r>
        <w:rPr>
          <w:spacing w:val="-8"/>
        </w:rPr>
        <w:t> </w:t>
      </w:r>
      <w:r>
        <w:rPr>
          <w:spacing w:val="-2"/>
        </w:rPr>
        <w:t>transporte</w:t>
      </w:r>
      <w:r>
        <w:rPr>
          <w:spacing w:val="-6"/>
        </w:rPr>
        <w:t> </w:t>
      </w:r>
      <w:r>
        <w:rPr>
          <w:spacing w:val="-2"/>
        </w:rPr>
        <w:t>rodoviário,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diminuição </w:t>
      </w:r>
      <w:r>
        <w:rPr/>
        <w:t>temporária da tributação sobre combustíveis pode contribuir para conter pressões</w:t>
      </w:r>
      <w:r>
        <w:rPr>
          <w:spacing w:val="-14"/>
        </w:rPr>
        <w:t> </w:t>
      </w:r>
      <w:r>
        <w:rPr/>
        <w:t>inflacionárias,</w:t>
      </w:r>
      <w:r>
        <w:rPr>
          <w:spacing w:val="-16"/>
        </w:rPr>
        <w:t> </w:t>
      </w:r>
      <w:r>
        <w:rPr/>
        <w:t>preservar</w:t>
      </w:r>
      <w:r>
        <w:rPr>
          <w:spacing w:val="-18"/>
        </w:rPr>
        <w:t> </w:t>
      </w:r>
      <w:r>
        <w:rPr/>
        <w:t>o</w:t>
      </w:r>
      <w:r>
        <w:rPr>
          <w:spacing w:val="-14"/>
        </w:rPr>
        <w:t> </w:t>
      </w:r>
      <w:r>
        <w:rPr/>
        <w:t>poder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compra</w:t>
      </w:r>
      <w:r>
        <w:rPr>
          <w:spacing w:val="-16"/>
        </w:rPr>
        <w:t> </w:t>
      </w:r>
      <w:r>
        <w:rPr/>
        <w:t>das</w:t>
      </w:r>
      <w:r>
        <w:rPr>
          <w:spacing w:val="-15"/>
        </w:rPr>
        <w:t> </w:t>
      </w:r>
      <w:r>
        <w:rPr/>
        <w:t>famílias</w:t>
      </w:r>
      <w:r>
        <w:rPr>
          <w:spacing w:val="-17"/>
        </w:rPr>
        <w:t> </w:t>
      </w:r>
      <w:r>
        <w:rPr/>
        <w:t>e</w:t>
      </w:r>
      <w:r>
        <w:rPr>
          <w:spacing w:val="-16"/>
        </w:rPr>
        <w:t> </w:t>
      </w:r>
      <w:r>
        <w:rPr/>
        <w:t>favorecer a competitividade das atividades econômicas instaladas no Maranhão.</w:t>
      </w:r>
    </w:p>
    <w:p>
      <w:pPr>
        <w:pStyle w:val="BodyText"/>
        <w:spacing w:line="276" w:lineRule="auto" w:before="160"/>
        <w:ind w:left="2" w:right="138" w:firstLine="1276"/>
        <w:jc w:val="both"/>
      </w:pPr>
      <w:r>
        <w:rPr/>
        <w:t>A medida também possui relevante dimensão social. A alta dos combustíveis atinge de forma mais intensa a população de baixa e média renda, que sofre simultaneamente com o aumento das tarifas de transporte, com o encarecimento de produtos básicos e com a perda de capacidade de consumo.</w:t>
      </w:r>
      <w:r>
        <w:rPr>
          <w:spacing w:val="72"/>
        </w:rPr>
        <w:t> </w:t>
      </w:r>
      <w:r>
        <w:rPr/>
        <w:t>Ao</w:t>
      </w:r>
      <w:r>
        <w:rPr>
          <w:spacing w:val="73"/>
        </w:rPr>
        <w:t> </w:t>
      </w:r>
      <w:r>
        <w:rPr/>
        <w:t>reduzir</w:t>
      </w:r>
      <w:r>
        <w:rPr>
          <w:spacing w:val="73"/>
        </w:rPr>
        <w:t> </w:t>
      </w:r>
      <w:r>
        <w:rPr/>
        <w:t>temporariamente</w:t>
      </w:r>
      <w:r>
        <w:rPr>
          <w:spacing w:val="73"/>
        </w:rPr>
        <w:t> </w:t>
      </w:r>
      <w:r>
        <w:rPr/>
        <w:t>as</w:t>
      </w:r>
      <w:r>
        <w:rPr>
          <w:spacing w:val="73"/>
        </w:rPr>
        <w:t> </w:t>
      </w:r>
      <w:r>
        <w:rPr/>
        <w:t>alíquotas,</w:t>
      </w:r>
      <w:r>
        <w:rPr>
          <w:spacing w:val="72"/>
        </w:rPr>
        <w:t> </w:t>
      </w:r>
      <w:r>
        <w:rPr/>
        <w:t>o</w:t>
      </w:r>
      <w:r>
        <w:rPr>
          <w:spacing w:val="73"/>
        </w:rPr>
        <w:t> </w:t>
      </w:r>
      <w:r>
        <w:rPr/>
        <w:t>Estado</w:t>
      </w:r>
      <w:r>
        <w:rPr>
          <w:spacing w:val="73"/>
        </w:rPr>
        <w:t> </w:t>
      </w:r>
      <w:r>
        <w:rPr/>
        <w:t>promove</w:t>
      </w:r>
    </w:p>
    <w:p>
      <w:pPr>
        <w:pStyle w:val="BodyText"/>
        <w:spacing w:after="0" w:line="276" w:lineRule="auto"/>
        <w:jc w:val="both"/>
        <w:sectPr>
          <w:pgSz w:w="11910" w:h="16840"/>
          <w:pgMar w:header="708" w:footer="0" w:top="2640" w:bottom="280" w:left="1700" w:right="1559"/>
        </w:sectPr>
      </w:pPr>
    </w:p>
    <w:p>
      <w:pPr>
        <w:pStyle w:val="BodyText"/>
        <w:spacing w:line="276" w:lineRule="auto" w:before="273"/>
        <w:ind w:left="2" w:right="146"/>
        <w:jc w:val="both"/>
      </w:pPr>
      <w:r>
        <w:rPr/>
        <w:t>desoneração sobre item essencial, com potencial de gerar efeitos positivos mais amplos sobre mobilidade, renda disponível e dinamismo econômico.</w:t>
      </w:r>
    </w:p>
    <w:p>
      <w:pPr>
        <w:pStyle w:val="BodyText"/>
        <w:spacing w:line="276" w:lineRule="auto" w:before="160"/>
        <w:ind w:left="2" w:right="137" w:firstLine="1276"/>
        <w:jc w:val="both"/>
      </w:pPr>
      <w:r>
        <w:rPr/>
        <w:t>A redução da alíquota do ICMS incidente sobre o álcool hidratado de 23% para 15% atende a imperativo constitucional expresso. O art. 225, §1°, VIII, da Constituição Federal, com a redação conferida pela Emenda Constitucional nº 123/2022, impõe ao Estado o dever de manter regime fiscal favorecido para os biocombustíveis, assegurando-lhes tributação inferior à incidente sobre os combustíveis fósseis.</w:t>
      </w:r>
    </w:p>
    <w:p>
      <w:pPr>
        <w:pStyle w:val="BodyText"/>
        <w:spacing w:line="276" w:lineRule="auto" w:before="162"/>
        <w:ind w:left="2" w:right="137" w:firstLine="1276"/>
        <w:jc w:val="both"/>
      </w:pPr>
      <w:r>
        <w:rPr/>
        <w:t>O</w:t>
      </w:r>
      <w:r>
        <w:rPr>
          <w:spacing w:val="-18"/>
        </w:rPr>
        <w:t> </w:t>
      </w:r>
      <w:r>
        <w:rPr/>
        <w:t>quadro</w:t>
      </w:r>
      <w:r>
        <w:rPr>
          <w:spacing w:val="-17"/>
        </w:rPr>
        <w:t> </w:t>
      </w:r>
      <w:r>
        <w:rPr/>
        <w:t>tributário</w:t>
      </w:r>
      <w:r>
        <w:rPr>
          <w:spacing w:val="-18"/>
        </w:rPr>
        <w:t> </w:t>
      </w:r>
      <w:r>
        <w:rPr/>
        <w:t>atual</w:t>
      </w:r>
      <w:r>
        <w:rPr>
          <w:spacing w:val="-17"/>
        </w:rPr>
        <w:t> </w:t>
      </w:r>
      <w:r>
        <w:rPr/>
        <w:t>do</w:t>
      </w:r>
      <w:r>
        <w:rPr>
          <w:spacing w:val="-18"/>
        </w:rPr>
        <w:t> </w:t>
      </w:r>
      <w:r>
        <w:rPr/>
        <w:t>Estado</w:t>
      </w:r>
      <w:r>
        <w:rPr>
          <w:spacing w:val="-17"/>
        </w:rPr>
        <w:t> </w:t>
      </w:r>
      <w:r>
        <w:rPr/>
        <w:t>do</w:t>
      </w:r>
      <w:r>
        <w:rPr>
          <w:spacing w:val="-18"/>
        </w:rPr>
        <w:t> </w:t>
      </w:r>
      <w:r>
        <w:rPr/>
        <w:t>Maranhão,</w:t>
      </w:r>
      <w:r>
        <w:rPr>
          <w:spacing w:val="-17"/>
        </w:rPr>
        <w:t> </w:t>
      </w:r>
      <w:r>
        <w:rPr/>
        <w:t>contudo,</w:t>
      </w:r>
      <w:r>
        <w:rPr>
          <w:spacing w:val="-18"/>
        </w:rPr>
        <w:t> </w:t>
      </w:r>
      <w:r>
        <w:rPr/>
        <w:t>revela flagrante incompatibilidade com esse mandamento constitucional: o álcool hidratado,</w:t>
      </w:r>
      <w:r>
        <w:rPr>
          <w:spacing w:val="-8"/>
        </w:rPr>
        <w:t> </w:t>
      </w:r>
      <w:r>
        <w:rPr/>
        <w:t>biocombustível</w:t>
      </w:r>
      <w:r>
        <w:rPr>
          <w:spacing w:val="-4"/>
        </w:rPr>
        <w:t> </w:t>
      </w:r>
      <w:r>
        <w:rPr/>
        <w:t>renovável,</w:t>
      </w:r>
      <w:r>
        <w:rPr>
          <w:spacing w:val="-6"/>
        </w:rPr>
        <w:t> </w:t>
      </w:r>
      <w:r>
        <w:rPr/>
        <w:t>suporta</w:t>
      </w:r>
      <w:r>
        <w:rPr>
          <w:spacing w:val="-5"/>
        </w:rPr>
        <w:t> </w:t>
      </w:r>
      <w:r>
        <w:rPr/>
        <w:t>alíquota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/>
        <w:t>23%,</w:t>
      </w:r>
      <w:r>
        <w:rPr>
          <w:spacing w:val="-6"/>
        </w:rPr>
        <w:t> </w:t>
      </w:r>
      <w:r>
        <w:rPr/>
        <w:t>ao</w:t>
      </w:r>
      <w:r>
        <w:rPr>
          <w:spacing w:val="-5"/>
        </w:rPr>
        <w:t> </w:t>
      </w:r>
      <w:r>
        <w:rPr/>
        <w:t>passo</w:t>
      </w:r>
      <w:r>
        <w:rPr>
          <w:spacing w:val="-5"/>
        </w:rPr>
        <w:t> </w:t>
      </w:r>
      <w:r>
        <w:rPr/>
        <w:t>que combustíveis fósseis como o óleo diesel e o gás liquefeito de</w:t>
      </w:r>
      <w:r>
        <w:rPr>
          <w:spacing w:val="-1"/>
        </w:rPr>
        <w:t> </w:t>
      </w:r>
      <w:r>
        <w:rPr/>
        <w:t>petróleo estão submetidos,</w:t>
      </w:r>
      <w:r>
        <w:rPr>
          <w:spacing w:val="-11"/>
        </w:rPr>
        <w:t> </w:t>
      </w:r>
      <w:r>
        <w:rPr/>
        <w:t>na</w:t>
      </w:r>
      <w:r>
        <w:rPr>
          <w:spacing w:val="-10"/>
        </w:rPr>
        <w:t> </w:t>
      </w:r>
      <w:r>
        <w:rPr/>
        <w:t>prática,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cargas</w:t>
      </w:r>
      <w:r>
        <w:rPr>
          <w:spacing w:val="-7"/>
        </w:rPr>
        <w:t> </w:t>
      </w:r>
      <w:r>
        <w:rPr/>
        <w:t>efetivas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aproximadamente</w:t>
      </w:r>
      <w:r>
        <w:rPr>
          <w:spacing w:val="-10"/>
        </w:rPr>
        <w:t> </w:t>
      </w:r>
      <w:r>
        <w:rPr/>
        <w:t>17%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16,4%, respectivamente,</w:t>
      </w:r>
      <w:r>
        <w:rPr>
          <w:spacing w:val="-18"/>
        </w:rPr>
        <w:t> </w:t>
      </w:r>
      <w:r>
        <w:rPr/>
        <w:t>calculadas</w:t>
      </w:r>
      <w:r>
        <w:rPr>
          <w:spacing w:val="-17"/>
        </w:rPr>
        <w:t> </w:t>
      </w:r>
      <w:r>
        <w:rPr/>
        <w:t>sobre</w:t>
      </w:r>
      <w:r>
        <w:rPr>
          <w:spacing w:val="-18"/>
        </w:rPr>
        <w:t> </w:t>
      </w:r>
      <w:r>
        <w:rPr/>
        <w:t>os</w:t>
      </w:r>
      <w:r>
        <w:rPr>
          <w:spacing w:val="-17"/>
        </w:rPr>
        <w:t> </w:t>
      </w:r>
      <w:r>
        <w:rPr/>
        <w:t>preços</w:t>
      </w:r>
      <w:r>
        <w:rPr>
          <w:spacing w:val="-18"/>
        </w:rPr>
        <w:t> </w:t>
      </w:r>
      <w:r>
        <w:rPr/>
        <w:t>médios</w:t>
      </w:r>
      <w:r>
        <w:rPr>
          <w:spacing w:val="-17"/>
        </w:rPr>
        <w:t> </w:t>
      </w:r>
      <w:r>
        <w:rPr/>
        <w:t>ao</w:t>
      </w:r>
      <w:r>
        <w:rPr>
          <w:spacing w:val="-18"/>
        </w:rPr>
        <w:t> </w:t>
      </w:r>
      <w:r>
        <w:rPr/>
        <w:t>consumidor</w:t>
      </w:r>
      <w:r>
        <w:rPr>
          <w:spacing w:val="-17"/>
        </w:rPr>
        <w:t> </w:t>
      </w:r>
      <w:r>
        <w:rPr/>
        <w:t>com</w:t>
      </w:r>
      <w:r>
        <w:rPr>
          <w:spacing w:val="-18"/>
        </w:rPr>
        <w:t> </w:t>
      </w:r>
      <w:r>
        <w:rPr/>
        <w:t>base nas alíquotas ad rem fixadas pelo CONFAZ para 2026.</w:t>
      </w:r>
    </w:p>
    <w:p>
      <w:pPr>
        <w:pStyle w:val="BodyText"/>
        <w:spacing w:line="276" w:lineRule="auto" w:before="159"/>
        <w:ind w:left="2" w:right="138" w:firstLine="1276"/>
        <w:jc w:val="both"/>
      </w:pPr>
      <w:r>
        <w:rPr/>
        <w:t>A manutenção do status quo implica, portanto, tributar o biocombustível mais gravosamente do que os fósseis que ele se propõe a substituir, invertendo a lógica constitucional de proteção ambiental e competitividade dos combustíveis renováveis. A presente proposta corrige essa</w:t>
      </w:r>
      <w:r>
        <w:rPr>
          <w:spacing w:val="-12"/>
        </w:rPr>
        <w:t> </w:t>
      </w:r>
      <w:r>
        <w:rPr/>
        <w:t>distorção,</w:t>
      </w:r>
      <w:r>
        <w:rPr>
          <w:spacing w:val="-13"/>
        </w:rPr>
        <w:t> </w:t>
      </w:r>
      <w:r>
        <w:rPr/>
        <w:t>adequando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legislação</w:t>
      </w:r>
      <w:r>
        <w:rPr>
          <w:spacing w:val="-11"/>
        </w:rPr>
        <w:t> </w:t>
      </w:r>
      <w:r>
        <w:rPr/>
        <w:t>estadual</w:t>
      </w:r>
      <w:r>
        <w:rPr>
          <w:spacing w:val="-12"/>
        </w:rPr>
        <w:t> </w:t>
      </w:r>
      <w:r>
        <w:rPr/>
        <w:t>ao</w:t>
      </w:r>
      <w:r>
        <w:rPr>
          <w:spacing w:val="-11"/>
        </w:rPr>
        <w:t> </w:t>
      </w:r>
      <w:r>
        <w:rPr/>
        <w:t>comando</w:t>
      </w:r>
      <w:r>
        <w:rPr>
          <w:spacing w:val="-12"/>
        </w:rPr>
        <w:t> </w:t>
      </w:r>
      <w:r>
        <w:rPr/>
        <w:t>do</w:t>
      </w:r>
      <w:r>
        <w:rPr>
          <w:spacing w:val="-11"/>
        </w:rPr>
        <w:t> </w:t>
      </w:r>
      <w:r>
        <w:rPr/>
        <w:t>art.</w:t>
      </w:r>
      <w:r>
        <w:rPr>
          <w:spacing w:val="-11"/>
        </w:rPr>
        <w:t> </w:t>
      </w:r>
      <w:r>
        <w:rPr/>
        <w:t>225,</w:t>
      </w:r>
      <w:r>
        <w:rPr>
          <w:spacing w:val="-13"/>
        </w:rPr>
        <w:t> </w:t>
      </w:r>
      <w:r>
        <w:rPr/>
        <w:t>§1°, VIII, da Constituição Federal.</w:t>
      </w:r>
    </w:p>
    <w:p>
      <w:pPr>
        <w:pStyle w:val="BodyText"/>
        <w:spacing w:line="276" w:lineRule="auto" w:before="162"/>
        <w:ind w:left="2" w:right="136" w:firstLine="1276"/>
        <w:jc w:val="both"/>
      </w:pPr>
      <w:r>
        <w:rPr/>
        <w:t>A</w:t>
      </w:r>
      <w:r>
        <w:rPr>
          <w:spacing w:val="-2"/>
        </w:rPr>
        <w:t> </w:t>
      </w:r>
      <w:r>
        <w:rPr/>
        <w:t>redução</w:t>
      </w:r>
      <w:r>
        <w:rPr>
          <w:spacing w:val="-2"/>
        </w:rPr>
        <w:t> </w:t>
      </w:r>
      <w:r>
        <w:rPr/>
        <w:t>das</w:t>
      </w:r>
      <w:r>
        <w:rPr>
          <w:spacing w:val="-4"/>
        </w:rPr>
        <w:t> </w:t>
      </w:r>
      <w:r>
        <w:rPr/>
        <w:t>alíquotas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ICMS</w:t>
      </w:r>
      <w:r>
        <w:rPr>
          <w:spacing w:val="-5"/>
        </w:rPr>
        <w:t> </w:t>
      </w:r>
      <w:r>
        <w:rPr/>
        <w:t>incidentes</w:t>
      </w:r>
      <w:r>
        <w:rPr>
          <w:spacing w:val="-2"/>
        </w:rPr>
        <w:t> </w:t>
      </w:r>
      <w:r>
        <w:rPr/>
        <w:t>sobre</w:t>
      </w:r>
      <w:r>
        <w:rPr>
          <w:spacing w:val="-4"/>
        </w:rPr>
        <w:t> </w:t>
      </w:r>
      <w:r>
        <w:rPr/>
        <w:t>combustíveis poderá ser viabilizada por diferentes mecanismos de gestão fiscal, orçamentária e financeira à disposição do Poder Executivo, evitando-se interpretação restritiva que condicione a medida a uma única fonte de custeio. Ao mencionar, de forma exemplificativa, hipóteses como o superávit primário apurado no exercício de 2025, o superávit financeiro de exercícios anteriores, o excesso de arrecadação, o ingresso de receitas extraordinárias, a anulação, reprogramação ou contingenciamento de despesas, a revisão de gastos administrativos, o combate à sonegação, a recuperação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créditos,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reavaliação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benefícios</w:t>
      </w:r>
      <w:r>
        <w:rPr>
          <w:spacing w:val="-9"/>
        </w:rPr>
        <w:t> </w:t>
      </w:r>
      <w:r>
        <w:rPr/>
        <w:t>fiscais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celebração</w:t>
      </w:r>
      <w:r>
        <w:rPr>
          <w:spacing w:val="-12"/>
        </w:rPr>
        <w:t> </w:t>
      </w:r>
      <w:r>
        <w:rPr/>
        <w:t>de deliberações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âmbito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CONFAZ,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dispositivo</w:t>
      </w:r>
      <w:r>
        <w:rPr>
          <w:spacing w:val="-7"/>
        </w:rPr>
        <w:t> </w:t>
      </w:r>
      <w:r>
        <w:rPr/>
        <w:t>confere</w:t>
      </w:r>
      <w:r>
        <w:rPr>
          <w:spacing w:val="-8"/>
        </w:rPr>
        <w:t> </w:t>
      </w:r>
      <w:r>
        <w:rPr/>
        <w:t>maior</w:t>
      </w:r>
      <w:r>
        <w:rPr>
          <w:spacing w:val="-8"/>
        </w:rPr>
        <w:t> </w:t>
      </w:r>
      <w:r>
        <w:rPr/>
        <w:t>densidade</w:t>
      </w:r>
    </w:p>
    <w:p>
      <w:pPr>
        <w:pStyle w:val="BodyText"/>
        <w:spacing w:after="0" w:line="276" w:lineRule="auto"/>
        <w:jc w:val="both"/>
        <w:sectPr>
          <w:pgSz w:w="11910" w:h="16840"/>
          <w:pgMar w:header="708" w:footer="0" w:top="2640" w:bottom="280" w:left="1700" w:right="1559"/>
        </w:sectPr>
      </w:pPr>
    </w:p>
    <w:p>
      <w:pPr>
        <w:pStyle w:val="BodyText"/>
        <w:spacing w:line="276" w:lineRule="auto" w:before="273"/>
        <w:ind w:left="2" w:right="141"/>
        <w:jc w:val="both"/>
      </w:pPr>
      <w:r>
        <w:rPr/>
        <w:t>normativa</w:t>
      </w:r>
      <w:r>
        <w:rPr>
          <w:spacing w:val="-13"/>
        </w:rPr>
        <w:t> </w:t>
      </w:r>
      <w:r>
        <w:rPr/>
        <w:t>à</w:t>
      </w:r>
      <w:r>
        <w:rPr>
          <w:spacing w:val="-13"/>
        </w:rPr>
        <w:t> </w:t>
      </w:r>
      <w:r>
        <w:rPr/>
        <w:t>autorização</w:t>
      </w:r>
      <w:r>
        <w:rPr>
          <w:spacing w:val="-12"/>
        </w:rPr>
        <w:t> </w:t>
      </w:r>
      <w:r>
        <w:rPr/>
        <w:t>legislativa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sinaliza,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maneira</w:t>
      </w:r>
      <w:r>
        <w:rPr>
          <w:spacing w:val="-13"/>
        </w:rPr>
        <w:t> </w:t>
      </w:r>
      <w:r>
        <w:rPr/>
        <w:t>clara,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/>
        <w:t>Estado poderá lançar mão de uma combinação de instrumentos para viabilizar a </w:t>
      </w:r>
      <w:r>
        <w:rPr>
          <w:spacing w:val="-2"/>
        </w:rPr>
        <w:t>desoneração</w:t>
      </w:r>
      <w:r>
        <w:rPr>
          <w:spacing w:val="-7"/>
        </w:rPr>
        <w:t> </w:t>
      </w:r>
      <w:r>
        <w:rPr>
          <w:spacing w:val="-2"/>
        </w:rPr>
        <w:t>tributária.</w:t>
      </w:r>
      <w:r>
        <w:rPr>
          <w:spacing w:val="-6"/>
        </w:rPr>
        <w:t> </w:t>
      </w:r>
      <w:r>
        <w:rPr>
          <w:spacing w:val="-2"/>
        </w:rPr>
        <w:t>Trata-se,</w:t>
      </w:r>
      <w:r>
        <w:rPr>
          <w:spacing w:val="-6"/>
        </w:rPr>
        <w:t> </w:t>
      </w:r>
      <w:r>
        <w:rPr>
          <w:spacing w:val="-2"/>
        </w:rPr>
        <w:t>assim,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solução</w:t>
      </w:r>
      <w:r>
        <w:rPr>
          <w:spacing w:val="-4"/>
        </w:rPr>
        <w:t> </w:t>
      </w:r>
      <w:r>
        <w:rPr>
          <w:spacing w:val="-2"/>
        </w:rPr>
        <w:t>que</w:t>
      </w:r>
      <w:r>
        <w:rPr>
          <w:spacing w:val="-6"/>
        </w:rPr>
        <w:t> </w:t>
      </w:r>
      <w:r>
        <w:rPr>
          <w:spacing w:val="-2"/>
        </w:rPr>
        <w:t>reforça</w:t>
      </w:r>
      <w:r>
        <w:rPr>
          <w:spacing w:val="-4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flexibilidade </w:t>
      </w:r>
      <w:r>
        <w:rPr/>
        <w:t>administrativa, amplia as alternativas de compensação fiscal e evidencia o compromisso do poder público com a adoção de medidas concretas para reduzir o peso do imposto sobre combustíveis, com efeitos positivos para o custo de vida da população e para a atividade econômica.</w:t>
      </w:r>
    </w:p>
    <w:p>
      <w:pPr>
        <w:pStyle w:val="BodyText"/>
        <w:spacing w:line="276" w:lineRule="auto" w:before="162"/>
        <w:ind w:left="2" w:right="140" w:firstLine="1276"/>
        <w:jc w:val="both"/>
      </w:pPr>
      <w:r>
        <w:rPr/>
        <w:t>Trata-se,</w:t>
      </w:r>
      <w:r>
        <w:rPr>
          <w:spacing w:val="-18"/>
        </w:rPr>
        <w:t> </w:t>
      </w:r>
      <w:r>
        <w:rPr/>
        <w:t>portanto,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iniciativa</w:t>
      </w:r>
      <w:r>
        <w:rPr>
          <w:spacing w:val="-17"/>
        </w:rPr>
        <w:t> </w:t>
      </w:r>
      <w:r>
        <w:rPr/>
        <w:t>que</w:t>
      </w:r>
      <w:r>
        <w:rPr>
          <w:spacing w:val="-18"/>
        </w:rPr>
        <w:t> </w:t>
      </w:r>
      <w:r>
        <w:rPr/>
        <w:t>combina</w:t>
      </w:r>
      <w:r>
        <w:rPr>
          <w:spacing w:val="-17"/>
        </w:rPr>
        <w:t> </w:t>
      </w:r>
      <w:r>
        <w:rPr/>
        <w:t>sensibilidade</w:t>
      </w:r>
      <w:r>
        <w:rPr>
          <w:spacing w:val="-18"/>
        </w:rPr>
        <w:t> </w:t>
      </w:r>
      <w:r>
        <w:rPr/>
        <w:t>social, racionalidade econômica e cautela jurídica. Sensibilidade social, porque busca aliviar o orçamento das famílias; racionalidade econômica, porque reduz custos que se irradiam por toda a cadeia produtiva; e cautela jurídica, porque reconhece a necessidade de harmonização com o regime nacional atualmente vigente para parte dos combustíveis.</w:t>
      </w:r>
    </w:p>
    <w:p>
      <w:pPr>
        <w:pStyle w:val="BodyText"/>
        <w:spacing w:line="276" w:lineRule="auto" w:before="159"/>
        <w:ind w:left="2" w:right="136" w:firstLine="1276"/>
        <w:jc w:val="both"/>
      </w:pPr>
      <w:r>
        <w:rPr/>
        <w:t>Além disso, a fixação de prazo certo para vigência da desoneração</w:t>
      </w:r>
      <w:r>
        <w:rPr>
          <w:spacing w:val="-10"/>
        </w:rPr>
        <w:t> </w:t>
      </w:r>
      <w:r>
        <w:rPr/>
        <w:t>—</w:t>
      </w:r>
      <w:r>
        <w:rPr>
          <w:spacing w:val="-12"/>
        </w:rPr>
        <w:t> </w:t>
      </w:r>
      <w:r>
        <w:rPr/>
        <w:t>até</w:t>
      </w:r>
      <w:r>
        <w:rPr>
          <w:spacing w:val="-12"/>
        </w:rPr>
        <w:t> </w:t>
      </w:r>
      <w:r>
        <w:rPr/>
        <w:t>31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dezembro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2026</w:t>
      </w:r>
      <w:r>
        <w:rPr>
          <w:spacing w:val="-11"/>
        </w:rPr>
        <w:t> </w:t>
      </w:r>
      <w:r>
        <w:rPr/>
        <w:t>—</w:t>
      </w:r>
      <w:r>
        <w:rPr>
          <w:spacing w:val="-12"/>
        </w:rPr>
        <w:t> </w:t>
      </w:r>
      <w:r>
        <w:rPr/>
        <w:t>reforça</w:t>
      </w:r>
      <w:r>
        <w:rPr>
          <w:spacing w:val="-15"/>
        </w:rPr>
        <w:t> </w:t>
      </w:r>
      <w:r>
        <w:rPr/>
        <w:t>o</w:t>
      </w:r>
      <w:r>
        <w:rPr>
          <w:spacing w:val="-12"/>
        </w:rPr>
        <w:t> </w:t>
      </w:r>
      <w:r>
        <w:rPr/>
        <w:t>caráter</w:t>
      </w:r>
      <w:r>
        <w:rPr>
          <w:spacing w:val="-12"/>
        </w:rPr>
        <w:t> </w:t>
      </w:r>
      <w:r>
        <w:rPr/>
        <w:t>excepcional e transitório da medida, permitindo ao Estado avaliar seus efeitos fiscais e econômicos sem comprometer de forma permanente a estrutura arrecadatória. A temporariedade da proposta também favorece o monitoramento de resultados e a eventual revisão futura da política tributária, conforme o comportamento dos preços, da arrecadação e do cenário econômico.</w:t>
      </w:r>
    </w:p>
    <w:p>
      <w:pPr>
        <w:pStyle w:val="BodyText"/>
        <w:spacing w:line="276" w:lineRule="auto" w:before="161"/>
        <w:ind w:left="2" w:right="138" w:firstLine="127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21792">
                <wp:simplePos x="0" y="0"/>
                <wp:positionH relativeFrom="page">
                  <wp:posOffset>3880222</wp:posOffset>
                </wp:positionH>
                <wp:positionV relativeFrom="paragraph">
                  <wp:posOffset>1888357</wp:posOffset>
                </wp:positionV>
                <wp:extent cx="766445" cy="76136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766445" cy="7613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6445" h="761365">
                              <a:moveTo>
                                <a:pt x="137924" y="600319"/>
                              </a:moveTo>
                              <a:lnTo>
                                <a:pt x="71444" y="643497"/>
                              </a:lnTo>
                              <a:lnTo>
                                <a:pt x="28973" y="685396"/>
                              </a:lnTo>
                              <a:lnTo>
                                <a:pt x="6548" y="721734"/>
                              </a:lnTo>
                              <a:lnTo>
                                <a:pt x="0" y="748414"/>
                              </a:lnTo>
                              <a:lnTo>
                                <a:pt x="4914" y="758291"/>
                              </a:lnTo>
                              <a:lnTo>
                                <a:pt x="9321" y="760903"/>
                              </a:lnTo>
                              <a:lnTo>
                                <a:pt x="60061" y="760903"/>
                              </a:lnTo>
                              <a:lnTo>
                                <a:pt x="62561" y="759340"/>
                              </a:lnTo>
                              <a:lnTo>
                                <a:pt x="14827" y="759340"/>
                              </a:lnTo>
                              <a:lnTo>
                                <a:pt x="21583" y="730952"/>
                              </a:lnTo>
                              <a:lnTo>
                                <a:pt x="46629" y="690859"/>
                              </a:lnTo>
                              <a:lnTo>
                                <a:pt x="86601" y="645205"/>
                              </a:lnTo>
                              <a:lnTo>
                                <a:pt x="137924" y="600319"/>
                              </a:lnTo>
                              <a:close/>
                            </a:path>
                            <a:path w="766445" h="761365">
                              <a:moveTo>
                                <a:pt x="327775" y="0"/>
                              </a:moveTo>
                              <a:lnTo>
                                <a:pt x="312435" y="10242"/>
                              </a:lnTo>
                              <a:lnTo>
                                <a:pt x="304557" y="33947"/>
                              </a:lnTo>
                              <a:lnTo>
                                <a:pt x="301655" y="60579"/>
                              </a:lnTo>
                              <a:lnTo>
                                <a:pt x="301241" y="79601"/>
                              </a:lnTo>
                              <a:lnTo>
                                <a:pt x="301802" y="96807"/>
                              </a:lnTo>
                              <a:lnTo>
                                <a:pt x="305850" y="135023"/>
                              </a:lnTo>
                              <a:lnTo>
                                <a:pt x="312849" y="175714"/>
                              </a:lnTo>
                              <a:lnTo>
                                <a:pt x="322214" y="218295"/>
                              </a:lnTo>
                              <a:lnTo>
                                <a:pt x="327775" y="239586"/>
                              </a:lnTo>
                              <a:lnTo>
                                <a:pt x="324308" y="256779"/>
                              </a:lnTo>
                              <a:lnTo>
                                <a:pt x="298992" y="327432"/>
                              </a:lnTo>
                              <a:lnTo>
                                <a:pt x="278760" y="375917"/>
                              </a:lnTo>
                              <a:lnTo>
                                <a:pt x="254555" y="429858"/>
                              </a:lnTo>
                              <a:lnTo>
                                <a:pt x="227185" y="486768"/>
                              </a:lnTo>
                              <a:lnTo>
                                <a:pt x="197458" y="544159"/>
                              </a:lnTo>
                              <a:lnTo>
                                <a:pt x="166181" y="599545"/>
                              </a:lnTo>
                              <a:lnTo>
                                <a:pt x="134163" y="650439"/>
                              </a:lnTo>
                              <a:lnTo>
                                <a:pt x="102210" y="694352"/>
                              </a:lnTo>
                              <a:lnTo>
                                <a:pt x="71132" y="728798"/>
                              </a:lnTo>
                              <a:lnTo>
                                <a:pt x="14827" y="759340"/>
                              </a:lnTo>
                              <a:lnTo>
                                <a:pt x="62561" y="759340"/>
                              </a:lnTo>
                              <a:lnTo>
                                <a:pt x="106039" y="723343"/>
                              </a:lnTo>
                              <a:lnTo>
                                <a:pt x="137729" y="685085"/>
                              </a:lnTo>
                              <a:lnTo>
                                <a:pt x="173364" y="633907"/>
                              </a:lnTo>
                              <a:lnTo>
                                <a:pt x="213053" y="568919"/>
                              </a:lnTo>
                              <a:lnTo>
                                <a:pt x="220386" y="566578"/>
                              </a:lnTo>
                              <a:lnTo>
                                <a:pt x="213053" y="566578"/>
                              </a:lnTo>
                              <a:lnTo>
                                <a:pt x="252237" y="496164"/>
                              </a:lnTo>
                              <a:lnTo>
                                <a:pt x="282511" y="436914"/>
                              </a:lnTo>
                              <a:lnTo>
                                <a:pt x="305240" y="387376"/>
                              </a:lnTo>
                              <a:lnTo>
                                <a:pt x="321792" y="346097"/>
                              </a:lnTo>
                              <a:lnTo>
                                <a:pt x="333530" y="311626"/>
                              </a:lnTo>
                              <a:lnTo>
                                <a:pt x="341822" y="282508"/>
                              </a:lnTo>
                              <a:lnTo>
                                <a:pt x="368732" y="282508"/>
                              </a:lnTo>
                              <a:lnTo>
                                <a:pt x="368438" y="281884"/>
                              </a:lnTo>
                              <a:lnTo>
                                <a:pt x="351968" y="237245"/>
                              </a:lnTo>
                              <a:lnTo>
                                <a:pt x="357606" y="197444"/>
                              </a:lnTo>
                              <a:lnTo>
                                <a:pt x="341822" y="197444"/>
                              </a:lnTo>
                              <a:lnTo>
                                <a:pt x="332848" y="163203"/>
                              </a:lnTo>
                              <a:lnTo>
                                <a:pt x="326799" y="130133"/>
                              </a:lnTo>
                              <a:lnTo>
                                <a:pt x="323385" y="99112"/>
                              </a:lnTo>
                              <a:lnTo>
                                <a:pt x="322312" y="71017"/>
                              </a:lnTo>
                              <a:lnTo>
                                <a:pt x="322464" y="63993"/>
                              </a:lnTo>
                              <a:lnTo>
                                <a:pt x="322568" y="59225"/>
                              </a:lnTo>
                              <a:lnTo>
                                <a:pt x="324361" y="39313"/>
                              </a:lnTo>
                              <a:lnTo>
                                <a:pt x="329226" y="18668"/>
                              </a:lnTo>
                              <a:lnTo>
                                <a:pt x="338701" y="4682"/>
                              </a:lnTo>
                              <a:lnTo>
                                <a:pt x="357709" y="4682"/>
                              </a:lnTo>
                              <a:lnTo>
                                <a:pt x="347676" y="780"/>
                              </a:lnTo>
                              <a:lnTo>
                                <a:pt x="327775" y="0"/>
                              </a:lnTo>
                              <a:close/>
                            </a:path>
                            <a:path w="766445" h="761365">
                              <a:moveTo>
                                <a:pt x="746859" y="565017"/>
                              </a:moveTo>
                              <a:lnTo>
                                <a:pt x="739652" y="566407"/>
                              </a:lnTo>
                              <a:lnTo>
                                <a:pt x="733690" y="570285"/>
                              </a:lnTo>
                              <a:lnTo>
                                <a:pt x="729629" y="576211"/>
                              </a:lnTo>
                              <a:lnTo>
                                <a:pt x="728129" y="583747"/>
                              </a:lnTo>
                              <a:lnTo>
                                <a:pt x="729629" y="590832"/>
                              </a:lnTo>
                              <a:lnTo>
                                <a:pt x="733690" y="596526"/>
                              </a:lnTo>
                              <a:lnTo>
                                <a:pt x="739652" y="600319"/>
                              </a:lnTo>
                              <a:lnTo>
                                <a:pt x="746859" y="601697"/>
                              </a:lnTo>
                              <a:lnTo>
                                <a:pt x="754846" y="600319"/>
                              </a:lnTo>
                              <a:lnTo>
                                <a:pt x="758945" y="597795"/>
                              </a:lnTo>
                              <a:lnTo>
                                <a:pt x="739055" y="597795"/>
                              </a:lnTo>
                              <a:lnTo>
                                <a:pt x="732031" y="591551"/>
                              </a:lnTo>
                              <a:lnTo>
                                <a:pt x="732031" y="575163"/>
                              </a:lnTo>
                              <a:lnTo>
                                <a:pt x="739055" y="568919"/>
                              </a:lnTo>
                              <a:lnTo>
                                <a:pt x="758835" y="568919"/>
                              </a:lnTo>
                              <a:lnTo>
                                <a:pt x="754846" y="566407"/>
                              </a:lnTo>
                              <a:lnTo>
                                <a:pt x="746859" y="565017"/>
                              </a:lnTo>
                              <a:close/>
                            </a:path>
                            <a:path w="766445" h="761365">
                              <a:moveTo>
                                <a:pt x="758835" y="568919"/>
                              </a:moveTo>
                              <a:lnTo>
                                <a:pt x="756224" y="568919"/>
                              </a:lnTo>
                              <a:lnTo>
                                <a:pt x="761687" y="575163"/>
                              </a:lnTo>
                              <a:lnTo>
                                <a:pt x="761687" y="591551"/>
                              </a:lnTo>
                              <a:lnTo>
                                <a:pt x="756224" y="597795"/>
                              </a:lnTo>
                              <a:lnTo>
                                <a:pt x="758945" y="597795"/>
                              </a:lnTo>
                              <a:lnTo>
                                <a:pt x="761004" y="596526"/>
                              </a:lnTo>
                              <a:lnTo>
                                <a:pt x="764967" y="590832"/>
                              </a:lnTo>
                              <a:lnTo>
                                <a:pt x="766370" y="583747"/>
                              </a:lnTo>
                              <a:lnTo>
                                <a:pt x="765063" y="576724"/>
                              </a:lnTo>
                              <a:lnTo>
                                <a:pt x="764967" y="576211"/>
                              </a:lnTo>
                              <a:lnTo>
                                <a:pt x="761004" y="570285"/>
                              </a:lnTo>
                              <a:lnTo>
                                <a:pt x="758835" y="568919"/>
                              </a:lnTo>
                              <a:close/>
                            </a:path>
                            <a:path w="766445" h="761365">
                              <a:moveTo>
                                <a:pt x="752322" y="571261"/>
                              </a:moveTo>
                              <a:lnTo>
                                <a:pt x="739835" y="571261"/>
                              </a:lnTo>
                              <a:lnTo>
                                <a:pt x="739835" y="593893"/>
                              </a:lnTo>
                              <a:lnTo>
                                <a:pt x="743737" y="593893"/>
                              </a:lnTo>
                              <a:lnTo>
                                <a:pt x="743737" y="585308"/>
                              </a:lnTo>
                              <a:lnTo>
                                <a:pt x="753623" y="585308"/>
                              </a:lnTo>
                              <a:lnTo>
                                <a:pt x="753102" y="584528"/>
                              </a:lnTo>
                              <a:lnTo>
                                <a:pt x="750761" y="583747"/>
                              </a:lnTo>
                              <a:lnTo>
                                <a:pt x="755444" y="582186"/>
                              </a:lnTo>
                              <a:lnTo>
                                <a:pt x="743737" y="582186"/>
                              </a:lnTo>
                              <a:lnTo>
                                <a:pt x="743737" y="575943"/>
                              </a:lnTo>
                              <a:lnTo>
                                <a:pt x="754923" y="575943"/>
                              </a:lnTo>
                              <a:lnTo>
                                <a:pt x="754663" y="574382"/>
                              </a:lnTo>
                              <a:lnTo>
                                <a:pt x="752322" y="571261"/>
                              </a:lnTo>
                              <a:close/>
                            </a:path>
                            <a:path w="766445" h="761365">
                              <a:moveTo>
                                <a:pt x="753623" y="585308"/>
                              </a:moveTo>
                              <a:lnTo>
                                <a:pt x="748420" y="585308"/>
                              </a:lnTo>
                              <a:lnTo>
                                <a:pt x="749981" y="587649"/>
                              </a:lnTo>
                              <a:lnTo>
                                <a:pt x="750761" y="589990"/>
                              </a:lnTo>
                              <a:lnTo>
                                <a:pt x="751542" y="593893"/>
                              </a:lnTo>
                              <a:lnTo>
                                <a:pt x="755444" y="593893"/>
                              </a:lnTo>
                              <a:lnTo>
                                <a:pt x="754663" y="589990"/>
                              </a:lnTo>
                              <a:lnTo>
                                <a:pt x="754663" y="586869"/>
                              </a:lnTo>
                              <a:lnTo>
                                <a:pt x="753623" y="585308"/>
                              </a:lnTo>
                              <a:close/>
                            </a:path>
                            <a:path w="766445" h="761365">
                              <a:moveTo>
                                <a:pt x="754923" y="575943"/>
                              </a:moveTo>
                              <a:lnTo>
                                <a:pt x="749200" y="575943"/>
                              </a:lnTo>
                              <a:lnTo>
                                <a:pt x="750761" y="576724"/>
                              </a:lnTo>
                              <a:lnTo>
                                <a:pt x="750761" y="581406"/>
                              </a:lnTo>
                              <a:lnTo>
                                <a:pt x="748420" y="582186"/>
                              </a:lnTo>
                              <a:lnTo>
                                <a:pt x="755444" y="582186"/>
                              </a:lnTo>
                              <a:lnTo>
                                <a:pt x="755444" y="579065"/>
                              </a:lnTo>
                              <a:lnTo>
                                <a:pt x="755053" y="576724"/>
                              </a:lnTo>
                              <a:lnTo>
                                <a:pt x="754968" y="576211"/>
                              </a:lnTo>
                              <a:lnTo>
                                <a:pt x="754923" y="575943"/>
                              </a:lnTo>
                              <a:close/>
                            </a:path>
                            <a:path w="766445" h="761365">
                              <a:moveTo>
                                <a:pt x="368732" y="282508"/>
                              </a:moveTo>
                              <a:lnTo>
                                <a:pt x="341822" y="282508"/>
                              </a:lnTo>
                              <a:lnTo>
                                <a:pt x="375243" y="352514"/>
                              </a:lnTo>
                              <a:lnTo>
                                <a:pt x="410274" y="404465"/>
                              </a:lnTo>
                              <a:lnTo>
                                <a:pt x="444594" y="441469"/>
                              </a:lnTo>
                              <a:lnTo>
                                <a:pt x="475879" y="466636"/>
                              </a:lnTo>
                              <a:lnTo>
                                <a:pt x="501808" y="483074"/>
                              </a:lnTo>
                              <a:lnTo>
                                <a:pt x="455489" y="491861"/>
                              </a:lnTo>
                              <a:lnTo>
                                <a:pt x="407522" y="502642"/>
                              </a:lnTo>
                              <a:lnTo>
                                <a:pt x="358601" y="515461"/>
                              </a:lnTo>
                              <a:lnTo>
                                <a:pt x="309421" y="530361"/>
                              </a:lnTo>
                              <a:lnTo>
                                <a:pt x="260673" y="547386"/>
                              </a:lnTo>
                              <a:lnTo>
                                <a:pt x="213053" y="566578"/>
                              </a:lnTo>
                              <a:lnTo>
                                <a:pt x="220386" y="566578"/>
                              </a:lnTo>
                              <a:lnTo>
                                <a:pt x="260714" y="553701"/>
                              </a:lnTo>
                              <a:lnTo>
                                <a:pt x="311792" y="540044"/>
                              </a:lnTo>
                              <a:lnTo>
                                <a:pt x="366015" y="527850"/>
                              </a:lnTo>
                              <a:lnTo>
                                <a:pt x="421107" y="517528"/>
                              </a:lnTo>
                              <a:lnTo>
                                <a:pt x="476372" y="509070"/>
                              </a:lnTo>
                              <a:lnTo>
                                <a:pt x="530199" y="502642"/>
                              </a:lnTo>
                              <a:lnTo>
                                <a:pt x="589417" y="502642"/>
                              </a:lnTo>
                              <a:lnTo>
                                <a:pt x="576728" y="497122"/>
                              </a:lnTo>
                              <a:lnTo>
                                <a:pt x="617766" y="494999"/>
                              </a:lnTo>
                              <a:lnTo>
                                <a:pt x="751015" y="494999"/>
                              </a:lnTo>
                              <a:lnTo>
                                <a:pt x="730178" y="483757"/>
                              </a:lnTo>
                              <a:lnTo>
                                <a:pt x="701069" y="477611"/>
                              </a:lnTo>
                              <a:lnTo>
                                <a:pt x="542390" y="477611"/>
                              </a:lnTo>
                              <a:lnTo>
                                <a:pt x="524282" y="467246"/>
                              </a:lnTo>
                              <a:lnTo>
                                <a:pt x="488943" y="444468"/>
                              </a:lnTo>
                              <a:lnTo>
                                <a:pt x="440698" y="401568"/>
                              </a:lnTo>
                              <a:lnTo>
                                <a:pt x="412878" y="365357"/>
                              </a:lnTo>
                              <a:lnTo>
                                <a:pt x="388766" y="325025"/>
                              </a:lnTo>
                              <a:lnTo>
                                <a:pt x="368732" y="282508"/>
                              </a:lnTo>
                              <a:close/>
                            </a:path>
                            <a:path w="766445" h="761365">
                              <a:moveTo>
                                <a:pt x="589417" y="502642"/>
                              </a:moveTo>
                              <a:lnTo>
                                <a:pt x="530811" y="502642"/>
                              </a:lnTo>
                              <a:lnTo>
                                <a:pt x="581898" y="525728"/>
                              </a:lnTo>
                              <a:lnTo>
                                <a:pt x="632528" y="543166"/>
                              </a:lnTo>
                              <a:lnTo>
                                <a:pt x="679060" y="554165"/>
                              </a:lnTo>
                              <a:lnTo>
                                <a:pt x="717984" y="557994"/>
                              </a:lnTo>
                              <a:lnTo>
                                <a:pt x="734092" y="556945"/>
                              </a:lnTo>
                              <a:lnTo>
                                <a:pt x="746176" y="553701"/>
                              </a:lnTo>
                              <a:lnTo>
                                <a:pt x="754310" y="548117"/>
                              </a:lnTo>
                              <a:lnTo>
                                <a:pt x="755685" y="545507"/>
                              </a:lnTo>
                              <a:lnTo>
                                <a:pt x="734372" y="545507"/>
                              </a:lnTo>
                              <a:lnTo>
                                <a:pt x="703485" y="542007"/>
                              </a:lnTo>
                              <a:lnTo>
                                <a:pt x="665208" y="532143"/>
                              </a:lnTo>
                              <a:lnTo>
                                <a:pt x="622102" y="516864"/>
                              </a:lnTo>
                              <a:lnTo>
                                <a:pt x="589417" y="502642"/>
                              </a:lnTo>
                              <a:close/>
                            </a:path>
                            <a:path w="766445" h="761365">
                              <a:moveTo>
                                <a:pt x="758565" y="540044"/>
                              </a:moveTo>
                              <a:lnTo>
                                <a:pt x="753102" y="542385"/>
                              </a:lnTo>
                              <a:lnTo>
                                <a:pt x="744518" y="545507"/>
                              </a:lnTo>
                              <a:lnTo>
                                <a:pt x="755685" y="545507"/>
                              </a:lnTo>
                              <a:lnTo>
                                <a:pt x="758565" y="540044"/>
                              </a:lnTo>
                              <a:close/>
                            </a:path>
                            <a:path w="766445" h="761365">
                              <a:moveTo>
                                <a:pt x="751015" y="494999"/>
                              </a:moveTo>
                              <a:lnTo>
                                <a:pt x="667444" y="494999"/>
                              </a:lnTo>
                              <a:lnTo>
                                <a:pt x="713776" y="499369"/>
                              </a:lnTo>
                              <a:lnTo>
                                <a:pt x="748745" y="510732"/>
                              </a:lnTo>
                              <a:lnTo>
                                <a:pt x="761687" y="531460"/>
                              </a:lnTo>
                              <a:lnTo>
                                <a:pt x="764028" y="525997"/>
                              </a:lnTo>
                              <a:lnTo>
                                <a:pt x="766377" y="523656"/>
                              </a:lnTo>
                              <a:lnTo>
                                <a:pt x="766377" y="518193"/>
                              </a:lnTo>
                              <a:lnTo>
                                <a:pt x="756870" y="498158"/>
                              </a:lnTo>
                              <a:lnTo>
                                <a:pt x="751015" y="494999"/>
                              </a:lnTo>
                              <a:close/>
                            </a:path>
                            <a:path w="766445" h="761365">
                              <a:moveTo>
                                <a:pt x="636040" y="472148"/>
                              </a:moveTo>
                              <a:lnTo>
                                <a:pt x="615151" y="472673"/>
                              </a:lnTo>
                              <a:lnTo>
                                <a:pt x="592434" y="474002"/>
                              </a:lnTo>
                              <a:lnTo>
                                <a:pt x="542390" y="477611"/>
                              </a:lnTo>
                              <a:lnTo>
                                <a:pt x="701069" y="477611"/>
                              </a:lnTo>
                              <a:lnTo>
                                <a:pt x="688998" y="475063"/>
                              </a:lnTo>
                              <a:lnTo>
                                <a:pt x="636040" y="472148"/>
                              </a:lnTo>
                              <a:close/>
                            </a:path>
                            <a:path w="766445" h="761365">
                              <a:moveTo>
                                <a:pt x="365235" y="63993"/>
                              </a:moveTo>
                              <a:lnTo>
                                <a:pt x="361028" y="87040"/>
                              </a:lnTo>
                              <a:lnTo>
                                <a:pt x="356163" y="116671"/>
                              </a:lnTo>
                              <a:lnTo>
                                <a:pt x="349980" y="153326"/>
                              </a:lnTo>
                              <a:lnTo>
                                <a:pt x="341931" y="196858"/>
                              </a:lnTo>
                              <a:lnTo>
                                <a:pt x="341822" y="197444"/>
                              </a:lnTo>
                              <a:lnTo>
                                <a:pt x="357606" y="197444"/>
                              </a:lnTo>
                              <a:lnTo>
                                <a:pt x="358321" y="192395"/>
                              </a:lnTo>
                              <a:lnTo>
                                <a:pt x="361821" y="149448"/>
                              </a:lnTo>
                              <a:lnTo>
                                <a:pt x="363711" y="107087"/>
                              </a:lnTo>
                              <a:lnTo>
                                <a:pt x="365235" y="63993"/>
                              </a:lnTo>
                              <a:close/>
                            </a:path>
                            <a:path w="766445" h="761365">
                              <a:moveTo>
                                <a:pt x="357709" y="4682"/>
                              </a:moveTo>
                              <a:lnTo>
                                <a:pt x="338701" y="4682"/>
                              </a:lnTo>
                              <a:lnTo>
                                <a:pt x="347127" y="9999"/>
                              </a:lnTo>
                              <a:lnTo>
                                <a:pt x="355187" y="18534"/>
                              </a:lnTo>
                              <a:lnTo>
                                <a:pt x="361638" y="31460"/>
                              </a:lnTo>
                              <a:lnTo>
                                <a:pt x="365235" y="49946"/>
                              </a:lnTo>
                              <a:lnTo>
                                <a:pt x="368161" y="21071"/>
                              </a:lnTo>
                              <a:lnTo>
                                <a:pt x="361723" y="6243"/>
                              </a:lnTo>
                              <a:lnTo>
                                <a:pt x="357709" y="46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5.529327pt;margin-top:148.68956pt;width:60.35pt;height:59.95pt;mso-position-horizontal-relative:page;mso-position-vertical-relative:paragraph;z-index:-15794688" id="docshape4" coordorigin="6111,2974" coordsize="1207,1199" path="m6328,3919l6324,3921,6223,3987,6156,4053,6121,4110,6111,4152,6118,4168,6125,4172,6205,4172,6209,4170,6134,4170,6145,4125,6184,4062,6247,3990,6328,3919xm6627,2974l6603,2990,6590,3027,6586,3069,6585,3099,6586,3126,6588,3156,6592,3186,6597,3218,6603,3251,6610,3284,6618,3318,6627,3351,6621,3378,6606,3426,6581,3489,6550,3566,6511,3651,6468,3740,6422,3831,6372,3918,6322,3998,6272,4067,6223,4122,6176,4157,6134,4170,6209,4170,6234,4154,6278,4113,6327,4053,6384,3972,6446,3870,6458,3866,6446,3866,6508,3755,6555,3662,6591,3584,6617,3519,6636,3465,6649,3419,6691,3419,6691,3418,6665,3347,6674,3285,6649,3285,6635,3231,6625,3179,6620,3130,6618,3086,6618,3075,6619,3067,6621,3036,6629,3003,6644,2981,6674,2981,6658,2975,6627,2974xm7287,3864l7275,3866,7266,3872,7260,3881,7257,3893,7260,3904,7266,3913,7275,3919,7287,3921,7299,3919,7306,3915,7274,3915,7263,3905,7263,3880,7274,3870,7306,3870,7299,3866,7287,3864xm7306,3870l7301,3870,7310,3880,7310,3905,7301,3915,7306,3915,7309,3913,7315,3904,7317,3893,7315,3882,7315,3881,7309,3872,7306,3870xm7295,3873l7276,3873,7276,3909,7282,3909,7282,3896,7297,3896,7297,3894,7293,3893,7300,3891,7282,3891,7282,3881,7299,3881,7299,3878,7295,3873xm7297,3896l7289,3896,7292,3899,7293,3903,7294,3909,7300,3909,7299,3903,7299,3898,7297,3896xm7299,3881l7290,3881,7293,3882,7293,3889,7289,3891,7300,3891,7300,3886,7300,3882,7300,3881,7299,3881xm6691,3419l6649,3419,6702,3529,6757,3611,6811,3669,6860,3709,6901,3735,6828,3748,6752,3765,6675,3786,6598,3809,6521,3836,6446,3866,6458,3866,6521,3846,6602,3824,6687,3805,6774,3789,6861,3775,6946,3765,7039,3765,7019,3757,7083,3753,7293,3753,7260,3736,7215,3726,6965,3726,6936,3710,6908,3692,6881,3674,6854,3655,6805,3606,6761,3549,6723,3486,6691,3419xm7039,3765l6947,3765,7027,3802,7107,3829,7180,3846,7241,3853,7267,3851,7286,3846,7298,3837,7301,3833,7267,3833,7218,3827,7158,3812,7090,3788,7039,3765xm7305,3824l7297,3828,7283,3833,7301,3833,7305,3824xm7293,3753l7162,3753,7235,3760,7290,3778,7310,3811,7314,3802,7317,3798,7317,3790,7303,3758,7293,3753xm7112,3717l7079,3718,7044,3720,6965,3726,7215,3726,7196,3722,7112,3717xm6686,3075l6679,3111,6671,3158,6662,3215,6649,3284,6649,3285,6674,3285,6675,3277,6680,3209,6683,3142,6686,3075xm6674,2981l6644,2981,6657,2990,6670,3003,6680,3023,6686,3052,6690,3007,6680,2984,6674,2981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Diante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exposto,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aprovação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matéria</w:t>
      </w:r>
      <w:r>
        <w:rPr>
          <w:spacing w:val="-9"/>
        </w:rPr>
        <w:t> </w:t>
      </w:r>
      <w:r>
        <w:rPr/>
        <w:t>se</w:t>
      </w:r>
      <w:r>
        <w:rPr>
          <w:spacing w:val="-6"/>
        </w:rPr>
        <w:t> </w:t>
      </w:r>
      <w:r>
        <w:rPr/>
        <w:t>revela</w:t>
      </w:r>
      <w:r>
        <w:rPr>
          <w:spacing w:val="-6"/>
        </w:rPr>
        <w:t> </w:t>
      </w:r>
      <w:r>
        <w:rPr/>
        <w:t>conveniente e oportuna, por representar instrumento legítimo de redução do peso tributário sobre bens essenciais, com potencial de beneficiar consumidores, </w:t>
      </w:r>
      <w:r>
        <w:rPr>
          <w:spacing w:val="-2"/>
        </w:rPr>
        <w:t>trabalhadores,</w:t>
      </w:r>
      <w:r>
        <w:rPr>
          <w:spacing w:val="-6"/>
        </w:rPr>
        <w:t> </w:t>
      </w:r>
      <w:r>
        <w:rPr>
          <w:spacing w:val="-2"/>
        </w:rPr>
        <w:t>transportadores,</w:t>
      </w:r>
      <w:r>
        <w:rPr>
          <w:spacing w:val="-9"/>
        </w:rPr>
        <w:t> </w:t>
      </w:r>
      <w:r>
        <w:rPr>
          <w:spacing w:val="-2"/>
        </w:rPr>
        <w:t>produtores</w:t>
      </w:r>
      <w:r>
        <w:rPr>
          <w:spacing w:val="-4"/>
        </w:rPr>
        <w:t> </w:t>
      </w:r>
      <w:r>
        <w:rPr>
          <w:spacing w:val="-2"/>
        </w:rPr>
        <w:t>e</w:t>
      </w:r>
      <w:r>
        <w:rPr>
          <w:spacing w:val="-11"/>
        </w:rPr>
        <w:t> </w:t>
      </w:r>
      <w:r>
        <w:rPr>
          <w:spacing w:val="-2"/>
        </w:rPr>
        <w:t>o</w:t>
      </w:r>
      <w:r>
        <w:rPr>
          <w:spacing w:val="-4"/>
        </w:rPr>
        <w:t> </w:t>
      </w:r>
      <w:r>
        <w:rPr>
          <w:spacing w:val="-2"/>
        </w:rPr>
        <w:t>setor</w:t>
      </w:r>
      <w:r>
        <w:rPr>
          <w:spacing w:val="-6"/>
        </w:rPr>
        <w:t> </w:t>
      </w:r>
      <w:r>
        <w:rPr>
          <w:spacing w:val="-2"/>
        </w:rPr>
        <w:t>econômico</w:t>
      </w:r>
      <w:r>
        <w:rPr>
          <w:spacing w:val="-7"/>
        </w:rPr>
        <w:t> </w:t>
      </w:r>
      <w:r>
        <w:rPr>
          <w:spacing w:val="-2"/>
        </w:rPr>
        <w:t>em</w:t>
      </w:r>
      <w:r>
        <w:rPr>
          <w:spacing w:val="-8"/>
        </w:rPr>
        <w:t> </w:t>
      </w:r>
      <w:r>
        <w:rPr>
          <w:spacing w:val="-2"/>
        </w:rPr>
        <w:t>geral,</w:t>
      </w:r>
      <w:r>
        <w:rPr>
          <w:spacing w:val="-6"/>
        </w:rPr>
        <w:t> </w:t>
      </w:r>
      <w:r>
        <w:rPr>
          <w:spacing w:val="-2"/>
        </w:rPr>
        <w:t>sem </w:t>
      </w:r>
      <w:r>
        <w:rPr/>
        <w:t>descurar da necessária observância ao regime jurídico nacional do ICMS incidente sobre combustíveis.</w:t>
      </w:r>
    </w:p>
    <w:p>
      <w:pPr>
        <w:pStyle w:val="BodyText"/>
        <w:rPr>
          <w:sz w:val="20"/>
        </w:rPr>
      </w:pPr>
    </w:p>
    <w:p>
      <w:pPr>
        <w:pStyle w:val="BodyText"/>
        <w:spacing w:before="5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708" w:footer="0" w:top="2640" w:bottom="280" w:left="1700" w:right="1559"/>
        </w:sectPr>
      </w:pPr>
    </w:p>
    <w:p>
      <w:pPr>
        <w:spacing w:line="247" w:lineRule="auto" w:before="144"/>
        <w:ind w:left="2836" w:right="0" w:firstLine="0"/>
        <w:jc w:val="left"/>
        <w:rPr>
          <w:rFonts w:ascii="Trebuchet MS"/>
          <w:sz w:val="26"/>
        </w:rPr>
      </w:pPr>
      <w:r>
        <w:rPr>
          <w:rFonts w:ascii="Trebuchet MS"/>
          <w:spacing w:val="-4"/>
          <w:sz w:val="26"/>
        </w:rPr>
        <w:t>OTHELINO</w:t>
      </w:r>
      <w:r>
        <w:rPr>
          <w:rFonts w:ascii="Trebuchet MS"/>
          <w:spacing w:val="-24"/>
          <w:sz w:val="26"/>
        </w:rPr>
        <w:t> </w:t>
      </w:r>
      <w:r>
        <w:rPr>
          <w:rFonts w:ascii="Trebuchet MS"/>
          <w:spacing w:val="-4"/>
          <w:sz w:val="26"/>
        </w:rPr>
        <w:t>NOVA </w:t>
      </w:r>
      <w:r>
        <w:rPr>
          <w:rFonts w:ascii="Trebuchet MS"/>
          <w:spacing w:val="-2"/>
          <w:sz w:val="26"/>
        </w:rPr>
        <w:t>ALVES</w:t>
      </w:r>
    </w:p>
    <w:p>
      <w:pPr>
        <w:spacing w:line="254" w:lineRule="auto" w:before="99"/>
        <w:ind w:left="331" w:right="1563" w:firstLine="0"/>
        <w:jc w:val="left"/>
        <w:rPr>
          <w:rFonts w:ascii="Trebuchet MS"/>
          <w:sz w:val="18"/>
        </w:rPr>
      </w:pPr>
      <w:r>
        <w:rPr/>
        <w:br w:type="column"/>
      </w:r>
      <w:r>
        <w:rPr>
          <w:rFonts w:ascii="Trebuchet MS"/>
          <w:sz w:val="18"/>
        </w:rPr>
        <w:t>Assinado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z w:val="18"/>
        </w:rPr>
        <w:t>de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z w:val="18"/>
        </w:rPr>
        <w:t>forma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z w:val="18"/>
        </w:rPr>
        <w:t>digital por OTHELINO NOVA </w:t>
      </w:r>
      <w:r>
        <w:rPr>
          <w:rFonts w:ascii="Trebuchet MS"/>
          <w:spacing w:val="-2"/>
          <w:sz w:val="18"/>
        </w:rPr>
        <w:t>ALVES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pacing w:val="-2"/>
          <w:sz w:val="18"/>
        </w:rPr>
        <w:t>NETO:58572538372</w:t>
      </w:r>
    </w:p>
    <w:p>
      <w:pPr>
        <w:spacing w:after="0" w:line="254" w:lineRule="auto"/>
        <w:jc w:val="left"/>
        <w:rPr>
          <w:rFonts w:ascii="Trebuchet MS"/>
          <w:sz w:val="18"/>
        </w:rPr>
        <w:sectPr>
          <w:type w:val="continuous"/>
          <w:pgSz w:w="11910" w:h="16840"/>
          <w:pgMar w:header="708" w:footer="0" w:top="2640" w:bottom="280" w:left="1700" w:right="1559"/>
          <w:cols w:num="2" w:equalWidth="0">
            <w:col w:w="4681" w:space="40"/>
            <w:col w:w="3930"/>
          </w:cols>
        </w:sectPr>
      </w:pPr>
    </w:p>
    <w:p>
      <w:pPr>
        <w:spacing w:before="4"/>
        <w:ind w:left="2836" w:right="0" w:firstLine="0"/>
        <w:jc w:val="left"/>
        <w:rPr>
          <w:rFonts w:ascii="Trebuchet MS"/>
          <w:sz w:val="18"/>
        </w:rPr>
      </w:pP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22304">
                <wp:simplePos x="0" y="0"/>
                <wp:positionH relativeFrom="page">
                  <wp:posOffset>4287867</wp:posOffset>
                </wp:positionH>
                <wp:positionV relativeFrom="paragraph">
                  <wp:posOffset>138720</wp:posOffset>
                </wp:positionV>
                <wp:extent cx="320040" cy="14097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32004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6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8"/>
                              </w:rPr>
                            </w:pPr>
                            <w:r>
                              <w:rPr>
                                <w:rFonts w:ascii="Trebuchet MS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18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7.62738pt;margin-top:10.922885pt;width:25.2pt;height:11.1pt;mso-position-horizontal-relative:page;mso-position-vertical-relative:paragraph;z-index:-15794176" type="#_x0000_t202" id="docshape5" filled="false" stroked="false">
                <v:textbox inset="0,0,0,0">
                  <w:txbxContent>
                    <w:p>
                      <w:pPr>
                        <w:spacing w:before="6"/>
                        <w:ind w:left="0" w:right="0" w:firstLine="0"/>
                        <w:jc w:val="left"/>
                        <w:rPr>
                          <w:rFonts w:ascii="Trebuchet MS"/>
                          <w:sz w:val="18"/>
                        </w:rPr>
                      </w:pPr>
                      <w:r>
                        <w:rPr>
                          <w:rFonts w:ascii="Trebuchet MS"/>
                          <w:sz w:val="18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sz w:val="18"/>
                        </w:rPr>
                        <w:t>03'00'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6"/>
          <w:position w:val="-10"/>
          <w:sz w:val="26"/>
        </w:rPr>
        <w:t>NETO:58572538372</w:t>
      </w:r>
      <w:r>
        <w:rPr>
          <w:rFonts w:ascii="Trebuchet MS"/>
          <w:spacing w:val="17"/>
          <w:position w:val="-10"/>
          <w:sz w:val="26"/>
        </w:rPr>
        <w:t> </w:t>
      </w:r>
      <w:r>
        <w:rPr>
          <w:rFonts w:ascii="Trebuchet MS"/>
          <w:spacing w:val="-6"/>
          <w:sz w:val="18"/>
        </w:rPr>
        <w:t>Dados: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pacing w:val="-6"/>
          <w:sz w:val="18"/>
        </w:rPr>
        <w:t>2026.04.15</w:t>
      </w:r>
      <w:r>
        <w:rPr>
          <w:rFonts w:ascii="Trebuchet MS"/>
          <w:spacing w:val="-15"/>
          <w:sz w:val="18"/>
        </w:rPr>
        <w:t> </w:t>
      </w:r>
      <w:r>
        <w:rPr>
          <w:rFonts w:ascii="Trebuchet MS"/>
          <w:spacing w:val="-6"/>
          <w:sz w:val="18"/>
        </w:rPr>
        <w:t>16:19:14</w:t>
      </w:r>
    </w:p>
    <w:sectPr>
      <w:type w:val="continuous"/>
      <w:pgSz w:w="11910" w:h="16840"/>
      <w:pgMar w:header="708" w:footer="0" w:top="264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0768">
          <wp:simplePos x="0" y="0"/>
          <wp:positionH relativeFrom="page">
            <wp:posOffset>3199129</wp:posOffset>
          </wp:positionH>
          <wp:positionV relativeFrom="page">
            <wp:posOffset>449579</wp:posOffset>
          </wp:positionV>
          <wp:extent cx="932954" cy="89407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2954" cy="894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1280">
              <wp:simplePos x="0" y="0"/>
              <wp:positionH relativeFrom="page">
                <wp:posOffset>2073910</wp:posOffset>
              </wp:positionH>
              <wp:positionV relativeFrom="page">
                <wp:posOffset>1359153</wp:posOffset>
              </wp:positionV>
              <wp:extent cx="3184525" cy="3365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184525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" w:right="2" w:firstLine="0"/>
                            <w:jc w:val="center"/>
                            <w:rPr>
                              <w:rFonts w:ascii="Calibri" w:hAnsi="Calibri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ASSEMBLEIA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LEGISLATIVA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DO ESTADO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DO MARANHÃO</w:t>
                          </w:r>
                        </w:p>
                        <w:p>
                          <w:pPr>
                            <w:spacing w:before="0"/>
                            <w:ind w:left="2" w:right="0" w:firstLine="0"/>
                            <w:jc w:val="center"/>
                            <w:rPr>
                              <w:rFonts w:ascii="Calibri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z w:val="22"/>
                            </w:rPr>
                            <w:t>Gabinete</w:t>
                          </w:r>
                          <w:r>
                            <w:rPr>
                              <w:rFonts w:ascii="Calibri"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sz w:val="22"/>
                            </w:rPr>
                            <w:t>do</w:t>
                          </w:r>
                          <w:r>
                            <w:rPr>
                              <w:rFonts w:ascii="Calibri"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sz w:val="22"/>
                            </w:rPr>
                            <w:t>Deputado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Othelino</w:t>
                          </w:r>
                          <w:r>
                            <w:rPr>
                              <w:rFonts w:ascii="Calibri"/>
                              <w:b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22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3.300003pt;margin-top:107.019981pt;width:250.75pt;height:26.5pt;mso-position-horizontal-relative:page;mso-position-vertical-relative:page;z-index:-15795200" type="#_x0000_t202" id="docshape1" filled="false" stroked="false">
              <v:textbox inset="0,0,0,0">
                <w:txbxContent>
                  <w:p>
                    <w:pPr>
                      <w:spacing w:line="245" w:lineRule="exact" w:before="0"/>
                      <w:ind w:left="2" w:right="2" w:firstLine="0"/>
                      <w:jc w:val="center"/>
                      <w:rPr>
                        <w:rFonts w:ascii="Calibri" w:hAnsi="Calibri"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ASSEMBLEIA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LEGISLATIVA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DO ESTADO</w:t>
                    </w:r>
                    <w:r>
                      <w:rPr>
                        <w:rFonts w:ascii="Calibri" w:hAnsi="Calibri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DO MARANHÃO</w:t>
                    </w:r>
                  </w:p>
                  <w:p>
                    <w:pPr>
                      <w:spacing w:before="0"/>
                      <w:ind w:left="2" w:right="0" w:firstLine="0"/>
                      <w:jc w:val="center"/>
                      <w:rPr>
                        <w:rFonts w:ascii="Calibri"/>
                        <w:b/>
                        <w:sz w:val="22"/>
                      </w:rPr>
                    </w:pPr>
                    <w:r>
                      <w:rPr>
                        <w:rFonts w:ascii="Calibri"/>
                        <w:sz w:val="22"/>
                      </w:rPr>
                      <w:t>Gabinete</w:t>
                    </w:r>
                    <w:r>
                      <w:rPr>
                        <w:rFonts w:ascii="Calibri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Calibri"/>
                        <w:sz w:val="22"/>
                      </w:rPr>
                      <w:t>do</w:t>
                    </w:r>
                    <w:r>
                      <w:rPr>
                        <w:rFonts w:ascii="Calibri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Calibri"/>
                        <w:sz w:val="22"/>
                      </w:rPr>
                      <w:t>Deputado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/>
                        <w:b/>
                        <w:sz w:val="22"/>
                      </w:rPr>
                      <w:t>Othelino</w:t>
                    </w:r>
                    <w:r>
                      <w:rPr>
                        <w:rFonts w:ascii="Calibri"/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Calibri"/>
                        <w:b/>
                        <w:spacing w:val="-4"/>
                        <w:sz w:val="22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2690" w:hanging="1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294" w:hanging="13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89" w:hanging="1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4" w:hanging="1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78" w:hanging="1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73" w:hanging="1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68" w:hanging="1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63" w:hanging="1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57" w:hanging="137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"/>
      <w:lvlJc w:val="left"/>
      <w:pPr>
        <w:ind w:left="1986" w:hanging="1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46" w:hanging="1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3" w:hanging="1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0" w:hanging="1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6" w:hanging="1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13" w:hanging="1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80" w:hanging="1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47" w:hanging="1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13" w:hanging="17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72"/>
      <w:ind w:right="139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1986" w:firstLine="567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2026-04-15T19:19:48Z</dcterms:created>
  <dcterms:modified xsi:type="dcterms:W3CDTF">2026-04-15T19:19:48Z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2026-04-15T00:00:00Z</vt:filetime>
  </property>
  <property fmtid="{D5CDD505-2E9C-101B-9397-08002B2CF9AE}" pid="5" name="Producer">
    <vt:lpwstr>Microsoft® Word 2016</vt:lpwstr>
  </property>
</Properties>
</file>