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40C33" w14:textId="77777777" w:rsidR="005A55E7" w:rsidRDefault="00000000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>GABINETE DO DEPUTADO JOTA PINTO</w:t>
      </w:r>
    </w:p>
    <w:p w14:paraId="6E84DB0A" w14:textId="77777777" w:rsidR="005A55E7" w:rsidRDefault="00000000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32"/>
          <w:szCs w:val="32"/>
          <w:lang w:eastAsia="pt-BR"/>
        </w:rPr>
      </w:pPr>
      <w:r>
        <w:rPr>
          <w:rFonts w:eastAsia="Times New Roman" w:cstheme="minorHAnsi"/>
          <w:b/>
          <w:bCs/>
          <w:sz w:val="32"/>
          <w:szCs w:val="32"/>
          <w:lang w:eastAsia="pt-BR"/>
        </w:rPr>
        <w:t>PROJETO DE LEI Nº _______/2026</w:t>
      </w:r>
    </w:p>
    <w:p w14:paraId="79D3F8A7" w14:textId="77777777" w:rsidR="005A55E7" w:rsidRDefault="00000000">
      <w:pPr>
        <w:spacing w:before="100" w:beforeAutospacing="1" w:after="100" w:afterAutospacing="1" w:line="240" w:lineRule="auto"/>
        <w:ind w:left="3828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>Dispõe sobre a proibição da construção de açudes, barragens ou quaisquer formas de represamento hídrico em encostas, margens ou áreas adjacentes às rodovias estaduais do Estado do Maranhão, quando comprometam a segurança da infraestrutura viária, e dá outras providências.</w:t>
      </w:r>
    </w:p>
    <w:p w14:paraId="53F71FC5" w14:textId="77777777" w:rsidR="005A55E7" w:rsidRDefault="00000000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 xml:space="preserve">Art. 1º. </w:t>
      </w:r>
      <w:r>
        <w:rPr>
          <w:rFonts w:eastAsia="Times New Roman" w:cstheme="minorHAnsi"/>
          <w:sz w:val="28"/>
          <w:szCs w:val="28"/>
          <w:lang w:eastAsia="pt-BR"/>
        </w:rPr>
        <w:t>Fica proibida, no âmbito do Estado do Maranhão, a construção, ampliação ou manutenção de açudes, barragens ou qualquer forma de represamento de água em encostas, margens ou áreas adjacentes às rodovias estaduais, quando tais intervenções comprometam ou possam comprometer a segurança da infraestrutura viária.</w:t>
      </w:r>
    </w:p>
    <w:p w14:paraId="4A8AA135" w14:textId="77777777" w:rsidR="005A55E7" w:rsidRDefault="0000000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>§1º Para os fins desta Lei, considera-se área adjacente:</w:t>
      </w:r>
      <w:r>
        <w:rPr>
          <w:rFonts w:eastAsia="Times New Roman" w:cstheme="minorHAnsi"/>
          <w:sz w:val="28"/>
          <w:szCs w:val="28"/>
          <w:lang w:eastAsia="pt-BR"/>
        </w:rPr>
        <w:br/>
        <w:t>I – a faixa de domínio da rodovia;</w:t>
      </w:r>
      <w:r>
        <w:rPr>
          <w:rFonts w:eastAsia="Times New Roman" w:cstheme="minorHAnsi"/>
          <w:sz w:val="28"/>
          <w:szCs w:val="28"/>
          <w:lang w:eastAsia="pt-BR"/>
        </w:rPr>
        <w:br/>
        <w:t>II – as áreas de influência direta, incluindo encostas, taludes, corpos hídricos e zonas sujeitas à instabilidade geotécnica ou hidrológica que possam afetar a integridade da via.</w:t>
      </w:r>
    </w:p>
    <w:p w14:paraId="43574386" w14:textId="77777777" w:rsidR="005A55E7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>§2º A distância mínima de segurança e os critérios técnicos para avaliação de risco serão definidos por órgão competente do Poder Executivo Estadual, com base em estudos geotécnicos, hidrológicos e ambientais.</w:t>
      </w:r>
    </w:p>
    <w:p w14:paraId="05C63A49" w14:textId="77777777" w:rsidR="005A55E7" w:rsidRDefault="00000000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 xml:space="preserve">Art. 2º. </w:t>
      </w:r>
      <w:r>
        <w:rPr>
          <w:rFonts w:eastAsia="Times New Roman" w:cstheme="minorHAnsi"/>
          <w:sz w:val="28"/>
          <w:szCs w:val="28"/>
          <w:lang w:eastAsia="pt-BR"/>
        </w:rPr>
        <w:t>A construção, ampliação ou manutenção de reservatórios hídricos nas proximidades de rodovias estaduais somente será permitida quando comprovadamente não houver risco à segurança da infraestrutura viária, mediante:</w:t>
      </w:r>
    </w:p>
    <w:p w14:paraId="20B6A464" w14:textId="77777777" w:rsidR="005A55E7" w:rsidRDefault="0000000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t-BR"/>
        </w:rPr>
      </w:pPr>
      <w:r>
        <w:rPr>
          <w:rFonts w:ascii="Calibri" w:eastAsia="Times New Roman" w:hAnsi="Calibri" w:cs="Calibri"/>
          <w:sz w:val="28"/>
          <w:szCs w:val="28"/>
          <w:lang w:eastAsia="pt-BR"/>
        </w:rPr>
        <w:t xml:space="preserve">I – </w:t>
      </w:r>
      <w:r>
        <w:rPr>
          <w:rFonts w:ascii="Calibri" w:eastAsia="SimSun" w:hAnsi="Calibri" w:cs="Calibri"/>
          <w:sz w:val="28"/>
          <w:szCs w:val="28"/>
        </w:rPr>
        <w:t xml:space="preserve">licenciamento ambiental junto à Secretaria de Estado do Meio Ambiente e Recursos Naturais – SEMA, ou órgão ambiental competente; </w:t>
      </w:r>
      <w:r>
        <w:rPr>
          <w:rFonts w:ascii="SimSun" w:eastAsia="SimSun" w:hAnsi="SimSun" w:cs="SimSun"/>
          <w:sz w:val="24"/>
          <w:szCs w:val="24"/>
        </w:rPr>
        <w:t xml:space="preserve">                    </w:t>
      </w:r>
      <w:r>
        <w:rPr>
          <w:rFonts w:eastAsia="Times New Roman" w:cstheme="minorHAnsi"/>
          <w:sz w:val="28"/>
          <w:szCs w:val="28"/>
          <w:lang w:eastAsia="pt-BR"/>
        </w:rPr>
        <w:t>II – autorização expressa pela Secretaria de Estado da Infraestrutura – SINFRA-MA - órgão responsável pela infraestrutura rodoviária estadual;</w:t>
      </w:r>
      <w:r>
        <w:rPr>
          <w:rFonts w:eastAsia="Times New Roman" w:cstheme="minorHAnsi"/>
          <w:sz w:val="28"/>
          <w:szCs w:val="28"/>
          <w:lang w:eastAsia="pt-BR"/>
        </w:rPr>
        <w:br/>
        <w:t>III – apresentação de estudo técnico de impacto geotécnico e hidrológico, elaborado por profissional habilitado;</w:t>
      </w:r>
      <w:r>
        <w:rPr>
          <w:rFonts w:eastAsia="Times New Roman" w:cstheme="minorHAnsi"/>
          <w:sz w:val="28"/>
          <w:szCs w:val="28"/>
          <w:lang w:eastAsia="pt-BR"/>
        </w:rPr>
        <w:br/>
      </w:r>
      <w:r>
        <w:rPr>
          <w:rFonts w:eastAsia="Times New Roman" w:cstheme="minorHAnsi"/>
          <w:sz w:val="28"/>
          <w:szCs w:val="28"/>
          <w:lang w:eastAsia="pt-BR"/>
        </w:rPr>
        <w:lastRenderedPageBreak/>
        <w:t xml:space="preserve">IV – </w:t>
      </w:r>
      <w:proofErr w:type="gramStart"/>
      <w:r>
        <w:rPr>
          <w:rFonts w:eastAsia="Times New Roman" w:cstheme="minorHAnsi"/>
          <w:sz w:val="28"/>
          <w:szCs w:val="28"/>
          <w:lang w:eastAsia="pt-BR"/>
        </w:rPr>
        <w:t>comprovação</w:t>
      </w:r>
      <w:proofErr w:type="gramEnd"/>
      <w:r>
        <w:rPr>
          <w:rFonts w:eastAsia="Times New Roman" w:cstheme="minorHAnsi"/>
          <w:sz w:val="28"/>
          <w:szCs w:val="28"/>
          <w:lang w:eastAsia="pt-BR"/>
        </w:rPr>
        <w:t xml:space="preserve"> da adoção de medidas de drenagem e contenção adequadas;</w:t>
      </w:r>
      <w:r>
        <w:rPr>
          <w:rFonts w:eastAsia="Times New Roman" w:cstheme="minorHAnsi"/>
          <w:sz w:val="28"/>
          <w:szCs w:val="28"/>
          <w:lang w:eastAsia="pt-BR"/>
        </w:rPr>
        <w:br/>
        <w:t>V – demonstração de que a obra não compromete a estabilidade do solo, a drenagem natural e a segurança do tráfego.</w:t>
      </w:r>
    </w:p>
    <w:p w14:paraId="19CD47B4" w14:textId="77777777" w:rsidR="005A55E7" w:rsidRDefault="00000000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 xml:space="preserve">Art. 3º. </w:t>
      </w:r>
      <w:r>
        <w:rPr>
          <w:rFonts w:eastAsia="Times New Roman" w:cstheme="minorHAnsi"/>
          <w:sz w:val="28"/>
          <w:szCs w:val="28"/>
          <w:lang w:eastAsia="pt-BR"/>
        </w:rPr>
        <w:t>Os responsáveis por construções realizadas em desacordo com esta Lei deverão:</w:t>
      </w:r>
    </w:p>
    <w:p w14:paraId="734480C8" w14:textId="77777777" w:rsidR="005A55E7" w:rsidRDefault="0000000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>I – Proceder à imediata paralisação da atividade irregular;</w:t>
      </w:r>
      <w:r>
        <w:rPr>
          <w:rFonts w:eastAsia="Times New Roman" w:cstheme="minorHAnsi"/>
          <w:sz w:val="28"/>
          <w:szCs w:val="28"/>
          <w:lang w:eastAsia="pt-BR"/>
        </w:rPr>
        <w:br/>
        <w:t>II – promover a desativação, remoção ou adequação da estrutura, conforme determinação do órgão competente;</w:t>
      </w:r>
      <w:r>
        <w:rPr>
          <w:rFonts w:eastAsia="Times New Roman" w:cstheme="minorHAnsi"/>
          <w:sz w:val="28"/>
          <w:szCs w:val="28"/>
          <w:lang w:eastAsia="pt-BR"/>
        </w:rPr>
        <w:br/>
        <w:t>III – reparar integralmente os danos causados à rodovia e ao meio ambiente;</w:t>
      </w:r>
      <w:r>
        <w:rPr>
          <w:rFonts w:eastAsia="Times New Roman" w:cstheme="minorHAnsi"/>
          <w:sz w:val="28"/>
          <w:szCs w:val="28"/>
          <w:lang w:eastAsia="pt-BR"/>
        </w:rPr>
        <w:br/>
        <w:t>IV – arcar com todos os custos de recuperação ambiental e estrutural.</w:t>
      </w:r>
    </w:p>
    <w:p w14:paraId="260D61EF" w14:textId="77777777" w:rsidR="005A55E7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>Parágrafo único. A responsabilidade prevista neste artigo é objetiva, independentemente da comprovação de culpa, nos termos da legislação ambiental vigente.</w:t>
      </w:r>
    </w:p>
    <w:p w14:paraId="6A72C93D" w14:textId="77777777" w:rsidR="005A55E7" w:rsidRDefault="00000000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 xml:space="preserve">Art. 4º. </w:t>
      </w:r>
      <w:r>
        <w:rPr>
          <w:rFonts w:eastAsia="Times New Roman" w:cstheme="minorHAnsi"/>
          <w:sz w:val="28"/>
          <w:szCs w:val="28"/>
          <w:lang w:eastAsia="pt-BR"/>
        </w:rPr>
        <w:t>O descumprimento desta Lei sujeitará o infrator às seguintes penalidades, sem prejuízo de outras sanções civis, administrativas e penais cabíveis:</w:t>
      </w:r>
    </w:p>
    <w:p w14:paraId="509F2AEF" w14:textId="77777777" w:rsidR="005A55E7" w:rsidRDefault="00000000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 xml:space="preserve">I – </w:t>
      </w:r>
      <w:proofErr w:type="gramStart"/>
      <w:r>
        <w:rPr>
          <w:rFonts w:eastAsia="Times New Roman" w:cstheme="minorHAnsi"/>
          <w:sz w:val="28"/>
          <w:szCs w:val="28"/>
          <w:lang w:eastAsia="pt-BR"/>
        </w:rPr>
        <w:t>advertência</w:t>
      </w:r>
      <w:proofErr w:type="gramEnd"/>
      <w:r>
        <w:rPr>
          <w:rFonts w:eastAsia="Times New Roman" w:cstheme="minorHAnsi"/>
          <w:sz w:val="28"/>
          <w:szCs w:val="28"/>
          <w:lang w:eastAsia="pt-BR"/>
        </w:rPr>
        <w:t>;</w:t>
      </w:r>
      <w:r>
        <w:rPr>
          <w:rFonts w:eastAsia="Times New Roman" w:cstheme="minorHAnsi"/>
          <w:sz w:val="28"/>
          <w:szCs w:val="28"/>
          <w:lang w:eastAsia="pt-BR"/>
        </w:rPr>
        <w:br/>
        <w:t>II – multa administrativa;</w:t>
      </w:r>
      <w:r>
        <w:rPr>
          <w:rFonts w:eastAsia="Times New Roman" w:cstheme="minorHAnsi"/>
          <w:sz w:val="28"/>
          <w:szCs w:val="28"/>
          <w:lang w:eastAsia="pt-BR"/>
        </w:rPr>
        <w:br/>
        <w:t>III – embargo da obra ou atividade;</w:t>
      </w:r>
      <w:r>
        <w:rPr>
          <w:rFonts w:eastAsia="Times New Roman" w:cstheme="minorHAnsi"/>
          <w:sz w:val="28"/>
          <w:szCs w:val="28"/>
          <w:lang w:eastAsia="pt-BR"/>
        </w:rPr>
        <w:br/>
        <w:t>IV – demolição ou remoção da estrutura irregular;</w:t>
      </w:r>
      <w:r>
        <w:rPr>
          <w:rFonts w:eastAsia="Times New Roman" w:cstheme="minorHAnsi"/>
          <w:sz w:val="28"/>
          <w:szCs w:val="28"/>
          <w:lang w:eastAsia="pt-BR"/>
        </w:rPr>
        <w:br/>
        <w:t>V – suspensão de licenças ou autorizações.</w:t>
      </w:r>
    </w:p>
    <w:p w14:paraId="053F03BF" w14:textId="77777777" w:rsidR="005A55E7" w:rsidRDefault="00000000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 xml:space="preserve">Art. 5º. </w:t>
      </w:r>
      <w:r>
        <w:rPr>
          <w:rFonts w:eastAsia="Times New Roman" w:cstheme="minorHAnsi"/>
          <w:sz w:val="28"/>
          <w:szCs w:val="28"/>
          <w:lang w:eastAsia="pt-BR"/>
        </w:rPr>
        <w:t xml:space="preserve">As estruturas de represamento hídrico existentes na data de publicação desta Lei deverão se adequar às suas disposições no prazo máximo de </w:t>
      </w:r>
      <w:r>
        <w:rPr>
          <w:rFonts w:eastAsia="Times New Roman" w:cstheme="minorHAnsi"/>
          <w:b/>
          <w:bCs/>
          <w:sz w:val="28"/>
          <w:szCs w:val="28"/>
          <w:lang w:eastAsia="pt-BR"/>
        </w:rPr>
        <w:t>180 (cento e oitenta) dias</w:t>
      </w:r>
      <w:r>
        <w:rPr>
          <w:rFonts w:eastAsia="Times New Roman" w:cstheme="minorHAnsi"/>
          <w:sz w:val="28"/>
          <w:szCs w:val="28"/>
          <w:lang w:eastAsia="pt-BR"/>
        </w:rPr>
        <w:t>, contados da regulamentação, sob pena de aplicação das sanções previstas.</w:t>
      </w:r>
    </w:p>
    <w:p w14:paraId="5D7F5F99" w14:textId="77777777" w:rsidR="005A55E7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>Art. 6º.</w:t>
      </w:r>
      <w:r>
        <w:rPr>
          <w:rFonts w:eastAsia="Times New Roman" w:cstheme="minorHAnsi"/>
          <w:sz w:val="28"/>
          <w:szCs w:val="28"/>
          <w:lang w:eastAsia="pt-BR"/>
        </w:rPr>
        <w:t xml:space="preserve"> Compete ao órgão estadual responsável pela infraestrutura rodoviária, em articulação com o órgão ambiental estadual, a fiscalização e a aplicação das sanções previstas nesta Lei.</w:t>
      </w:r>
    </w:p>
    <w:p w14:paraId="7A8346AC" w14:textId="77777777" w:rsidR="005A55E7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>Parágrafo único. O Poder Executivo poderá firmar convênios com os Municípios para auxiliar na fiscalização e cumprimento desta Lei.</w:t>
      </w:r>
    </w:p>
    <w:p w14:paraId="193B2960" w14:textId="77777777" w:rsidR="005A55E7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lastRenderedPageBreak/>
        <w:t xml:space="preserve">Art. 7º. </w:t>
      </w:r>
      <w:r>
        <w:rPr>
          <w:rFonts w:eastAsia="Times New Roman" w:cstheme="minorHAnsi"/>
          <w:sz w:val="28"/>
          <w:szCs w:val="28"/>
          <w:lang w:eastAsia="pt-BR"/>
        </w:rPr>
        <w:t xml:space="preserve">O Poder Executivo regulamentará esta Lei no prazo de até </w:t>
      </w:r>
      <w:r>
        <w:rPr>
          <w:rFonts w:eastAsia="Times New Roman" w:cstheme="minorHAnsi"/>
          <w:b/>
          <w:bCs/>
          <w:sz w:val="28"/>
          <w:szCs w:val="28"/>
          <w:lang w:eastAsia="pt-BR"/>
        </w:rPr>
        <w:t>90 (noventa) dias</w:t>
      </w:r>
      <w:r>
        <w:rPr>
          <w:rFonts w:eastAsia="Times New Roman" w:cstheme="minorHAnsi"/>
          <w:sz w:val="28"/>
          <w:szCs w:val="28"/>
          <w:lang w:eastAsia="pt-BR"/>
        </w:rPr>
        <w:t>, estabelecendo critérios técnicos, procedimentos administrativos e valores das penalidades.</w:t>
      </w:r>
    </w:p>
    <w:p w14:paraId="0DAF0924" w14:textId="77777777" w:rsidR="005A55E7" w:rsidRDefault="00000000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 xml:space="preserve">Art. 8º. </w:t>
      </w:r>
      <w:r>
        <w:rPr>
          <w:rFonts w:eastAsia="Times New Roman" w:cstheme="minorHAnsi"/>
          <w:sz w:val="28"/>
          <w:szCs w:val="28"/>
          <w:lang w:eastAsia="pt-BR"/>
        </w:rPr>
        <w:t>Esta Lei entra em vigor na data de sua publicação.</w:t>
      </w:r>
    </w:p>
    <w:p w14:paraId="0EFE6593" w14:textId="77777777" w:rsidR="005A55E7" w:rsidRDefault="005A55E7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</w:p>
    <w:p w14:paraId="508B746B" w14:textId="77777777" w:rsidR="005A55E7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 xml:space="preserve">PLENÁRIO “DEPUTADO NAGIB HAICKEL”, DO PALÁCIO “MANOEL BECKMAN”, EM SÃO LUÍS/MA, ____ DE __________ </w:t>
      </w:r>
      <w:proofErr w:type="spellStart"/>
      <w:r>
        <w:rPr>
          <w:rFonts w:eastAsia="Times New Roman" w:cstheme="minorHAnsi"/>
          <w:b/>
          <w:bCs/>
          <w:sz w:val="28"/>
          <w:szCs w:val="28"/>
          <w:lang w:eastAsia="pt-BR"/>
        </w:rPr>
        <w:t>DE</w:t>
      </w:r>
      <w:proofErr w:type="spellEnd"/>
      <w:r>
        <w:rPr>
          <w:rFonts w:eastAsia="Times New Roman" w:cstheme="minorHAnsi"/>
          <w:b/>
          <w:bCs/>
          <w:sz w:val="28"/>
          <w:szCs w:val="28"/>
          <w:lang w:eastAsia="pt-BR"/>
        </w:rPr>
        <w:t xml:space="preserve"> 2026.</w:t>
      </w:r>
    </w:p>
    <w:p w14:paraId="10FE19AC" w14:textId="77777777" w:rsidR="005A55E7" w:rsidRDefault="005A55E7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7F2B8511" w14:textId="77777777" w:rsidR="005A55E7" w:rsidRDefault="005A55E7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439CD61C" w14:textId="77777777" w:rsidR="005A55E7" w:rsidRDefault="005A55E7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</w:p>
    <w:p w14:paraId="72CED09A" w14:textId="77777777" w:rsidR="005A55E7" w:rsidRDefault="00000000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>JOTA PINTO</w:t>
      </w:r>
      <w:r>
        <w:rPr>
          <w:rFonts w:eastAsia="Times New Roman" w:cstheme="minorHAnsi"/>
          <w:sz w:val="28"/>
          <w:szCs w:val="28"/>
          <w:lang w:eastAsia="pt-BR"/>
        </w:rPr>
        <w:br/>
        <w:t>Deputado Estadual</w:t>
      </w:r>
    </w:p>
    <w:p w14:paraId="03259B63" w14:textId="77777777" w:rsidR="005A55E7" w:rsidRDefault="005A55E7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</w:p>
    <w:p w14:paraId="54C6C6C2" w14:textId="77777777" w:rsidR="005A55E7" w:rsidRDefault="005A55E7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68C3D73E" w14:textId="77777777" w:rsidR="005A55E7" w:rsidRDefault="005A55E7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3C256367" w14:textId="77777777" w:rsidR="005A55E7" w:rsidRDefault="005A55E7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01634641" w14:textId="77777777" w:rsidR="005A55E7" w:rsidRDefault="005A55E7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588AEB4D" w14:textId="77777777" w:rsidR="005A55E7" w:rsidRDefault="005A55E7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6471D1F2" w14:textId="77777777" w:rsidR="005A55E7" w:rsidRDefault="005A55E7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7D902892" w14:textId="77777777" w:rsidR="005A55E7" w:rsidRDefault="005A55E7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1E716C51" w14:textId="77777777" w:rsidR="005A55E7" w:rsidRDefault="005A55E7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00551BE6" w14:textId="77777777" w:rsidR="005A55E7" w:rsidRDefault="005A55E7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5C1BEA12" w14:textId="77777777" w:rsidR="005A55E7" w:rsidRDefault="005A55E7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35EF9220" w14:textId="77777777" w:rsidR="005A55E7" w:rsidRDefault="00000000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lastRenderedPageBreak/>
        <w:t>JUSTIFICATIVA</w:t>
      </w:r>
    </w:p>
    <w:p w14:paraId="42C5B8D5" w14:textId="77777777" w:rsidR="005A55E7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>O presente Projeto de Lei tem como objetivo proteger a integridade das rodovias estaduais do Maranhão, a segurança dos usuários e o equilíbrio ambiental, diante de práticas irregulares de represamento hídrico que vêm causando graves prejuízos à infraestrutura pública.</w:t>
      </w:r>
    </w:p>
    <w:p w14:paraId="365089BD" w14:textId="77777777" w:rsidR="005A55E7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>Recentemente, registrou-se grave ocorrência na rodovia estadual MA-014, no trecho entre os municípios de Viana e Matinha, onde houve o rompimento de parte da via em decorrência da construção inadequada de um açude, utilizando-se, inclusive, a própria estrada como contenção lateral do reservatório. Tal situação evidencia, de forma concreta, os riscos dessa prática.</w:t>
      </w:r>
    </w:p>
    <w:p w14:paraId="4AC0E0A4" w14:textId="77777777" w:rsidR="005A55E7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>Sob o ponto de vista técnico, a construção de açudes ou barragens em áreas próximas às rodovias favorece a infiltração de água no solo, reduzindo sua resistência mecânica e aumentando significativamente o risco de erosões, deslizamentos e colapsos estruturais. Esses fenômenos comprometem diretamente a base das estradas, podendo causar afundamentos, fissuras e interrupções do tráfego, com graves prejuízos à mobilidade e à economia regional.</w:t>
      </w:r>
    </w:p>
    <w:p w14:paraId="6476CA45" w14:textId="77777777" w:rsidR="005A55E7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>A presente proposição encontra respaldo nos seguintes dispositivos:</w:t>
      </w:r>
    </w:p>
    <w:p w14:paraId="3C3A98FA" w14:textId="77777777" w:rsidR="005A55E7" w:rsidRDefault="000000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>Constituição Federal (</w:t>
      </w:r>
      <w:proofErr w:type="spellStart"/>
      <w:r>
        <w:rPr>
          <w:rFonts w:eastAsia="Times New Roman" w:cstheme="minorHAnsi"/>
          <w:b/>
          <w:bCs/>
          <w:sz w:val="28"/>
          <w:szCs w:val="28"/>
          <w:lang w:eastAsia="pt-BR"/>
        </w:rPr>
        <w:t>arts</w:t>
      </w:r>
      <w:proofErr w:type="spellEnd"/>
      <w:r>
        <w:rPr>
          <w:rFonts w:eastAsia="Times New Roman" w:cstheme="minorHAnsi"/>
          <w:b/>
          <w:bCs/>
          <w:sz w:val="28"/>
          <w:szCs w:val="28"/>
          <w:lang w:eastAsia="pt-BR"/>
        </w:rPr>
        <w:t>. 23, VI e VII, e 225):</w:t>
      </w:r>
      <w:r>
        <w:rPr>
          <w:rFonts w:eastAsia="Times New Roman" w:cstheme="minorHAnsi"/>
          <w:sz w:val="28"/>
          <w:szCs w:val="28"/>
          <w:lang w:eastAsia="pt-BR"/>
        </w:rPr>
        <w:t xml:space="preserve"> estabelece a competência comum dos entes federativos para proteção do meio ambiente e garantia da segurança da população; </w:t>
      </w:r>
    </w:p>
    <w:p w14:paraId="2F0B757B" w14:textId="77777777" w:rsidR="005A55E7" w:rsidRDefault="000000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>Lei nº 6.938/1981 (Política Nacional do Meio Ambiente):</w:t>
      </w:r>
      <w:r>
        <w:rPr>
          <w:rFonts w:eastAsia="Times New Roman" w:cstheme="minorHAnsi"/>
          <w:sz w:val="28"/>
          <w:szCs w:val="28"/>
          <w:lang w:eastAsia="pt-BR"/>
        </w:rPr>
        <w:t xml:space="preserve"> exige licenciamento ambiental para atividades potencialmente degradadoras; </w:t>
      </w:r>
    </w:p>
    <w:p w14:paraId="65A6AE2C" w14:textId="77777777" w:rsidR="005A55E7" w:rsidRDefault="000000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>Lei nº 12.651/2012 (Código Florestal):</w:t>
      </w:r>
      <w:r>
        <w:rPr>
          <w:rFonts w:eastAsia="Times New Roman" w:cstheme="minorHAnsi"/>
          <w:sz w:val="28"/>
          <w:szCs w:val="28"/>
          <w:lang w:eastAsia="pt-BR"/>
        </w:rPr>
        <w:t xml:space="preserve"> disciplina a proteção de áreas sensíveis e o uso adequado do solo; </w:t>
      </w:r>
    </w:p>
    <w:p w14:paraId="4674BA8E" w14:textId="77777777" w:rsidR="005A55E7" w:rsidRDefault="000000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>Lei nº 12.608/2012 (Política Nacional de Proteção e Defesa Civil):</w:t>
      </w:r>
      <w:r>
        <w:rPr>
          <w:rFonts w:eastAsia="Times New Roman" w:cstheme="minorHAnsi"/>
          <w:sz w:val="28"/>
          <w:szCs w:val="28"/>
          <w:lang w:eastAsia="pt-BR"/>
        </w:rPr>
        <w:t xml:space="preserve"> impõe ao Poder Público o dever de prevenir desastres; </w:t>
      </w:r>
    </w:p>
    <w:p w14:paraId="0725BAFF" w14:textId="77777777" w:rsidR="005A55E7" w:rsidRDefault="000000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 xml:space="preserve">Normas técnicas de engenharia rodoviária e geotecnia, que vedam intervenções que comprometam a estabilidade de taludes e sistemas de drenagem. </w:t>
      </w:r>
    </w:p>
    <w:p w14:paraId="4D838135" w14:textId="77777777" w:rsidR="005A55E7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 xml:space="preserve">O Superior Tribunal de Justiça possui entendimento consolidado no sentido de que a responsabilidade por danos ambientais é objetiva, bastando a comprovação do dano e do nexo causal. Ademais, decisões reiteradas reconhecem o dever de </w:t>
      </w:r>
      <w:r>
        <w:rPr>
          <w:rFonts w:eastAsia="Times New Roman" w:cstheme="minorHAnsi"/>
          <w:sz w:val="28"/>
          <w:szCs w:val="28"/>
          <w:lang w:eastAsia="pt-BR"/>
        </w:rPr>
        <w:lastRenderedPageBreak/>
        <w:t>reparação integral em casos de intervenções irregulares que afetem o meio ambiente e bens públicos.</w:t>
      </w:r>
    </w:p>
    <w:p w14:paraId="4900AD6A" w14:textId="77777777" w:rsidR="005A55E7" w:rsidRDefault="00000000">
      <w:pPr>
        <w:pStyle w:val="NormalWeb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ascii="Calibri" w:hAnsi="Calibri" w:cs="Calibri"/>
          <w:sz w:val="28"/>
          <w:szCs w:val="28"/>
          <w:lang w:val="pt-BR"/>
        </w:rPr>
        <w:t>Desta forma</w:t>
      </w:r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embora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não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exista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súmula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específica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sobre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matéria</w:t>
      </w:r>
      <w:proofErr w:type="spellEnd"/>
      <w:r>
        <w:rPr>
          <w:rFonts w:ascii="Calibri" w:hAnsi="Calibri" w:cs="Calibri"/>
          <w:sz w:val="28"/>
          <w:szCs w:val="28"/>
        </w:rPr>
        <w:t xml:space="preserve">, a </w:t>
      </w:r>
      <w:proofErr w:type="spellStart"/>
      <w:r>
        <w:rPr>
          <w:rFonts w:ascii="Calibri" w:hAnsi="Calibri" w:cs="Calibri"/>
          <w:sz w:val="28"/>
          <w:szCs w:val="28"/>
        </w:rPr>
        <w:t>jurisprudência</w:t>
      </w:r>
      <w:proofErr w:type="spellEnd"/>
      <w:r>
        <w:rPr>
          <w:rFonts w:ascii="Calibri" w:hAnsi="Calibri" w:cs="Calibri"/>
          <w:sz w:val="28"/>
          <w:szCs w:val="28"/>
        </w:rPr>
        <w:t xml:space="preserve"> do Supremo Tribunal Federal é </w:t>
      </w:r>
      <w:proofErr w:type="spellStart"/>
      <w:r>
        <w:rPr>
          <w:rFonts w:ascii="Calibri" w:hAnsi="Calibri" w:cs="Calibri"/>
          <w:sz w:val="28"/>
          <w:szCs w:val="28"/>
        </w:rPr>
        <w:t>firme</w:t>
      </w:r>
      <w:proofErr w:type="spellEnd"/>
      <w:r>
        <w:rPr>
          <w:rFonts w:ascii="Calibri" w:hAnsi="Calibri" w:cs="Calibri"/>
          <w:sz w:val="28"/>
          <w:szCs w:val="28"/>
        </w:rPr>
        <w:t xml:space="preserve"> no </w:t>
      </w:r>
      <w:proofErr w:type="spellStart"/>
      <w:r>
        <w:rPr>
          <w:rFonts w:ascii="Calibri" w:hAnsi="Calibri" w:cs="Calibri"/>
          <w:sz w:val="28"/>
          <w:szCs w:val="28"/>
        </w:rPr>
        <w:t>sentido</w:t>
      </w:r>
      <w:proofErr w:type="spellEnd"/>
      <w:r>
        <w:rPr>
          <w:rFonts w:ascii="Calibri" w:hAnsi="Calibri" w:cs="Calibri"/>
          <w:sz w:val="28"/>
          <w:szCs w:val="28"/>
        </w:rPr>
        <w:t xml:space="preserve"> de </w:t>
      </w:r>
      <w:proofErr w:type="spellStart"/>
      <w:r>
        <w:rPr>
          <w:rFonts w:ascii="Calibri" w:hAnsi="Calibri" w:cs="Calibri"/>
          <w:sz w:val="28"/>
          <w:szCs w:val="28"/>
        </w:rPr>
        <w:t>reconhecer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proteção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meio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ambiente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como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direito</w:t>
      </w:r>
      <w:proofErr w:type="spellEnd"/>
      <w:r>
        <w:rPr>
          <w:rFonts w:ascii="Calibri" w:hAnsi="Calibri" w:cs="Calibri"/>
          <w:sz w:val="28"/>
          <w:szCs w:val="28"/>
        </w:rPr>
        <w:t xml:space="preserve"> fundamental de </w:t>
      </w:r>
      <w:proofErr w:type="spellStart"/>
      <w:r>
        <w:rPr>
          <w:rFonts w:ascii="Calibri" w:hAnsi="Calibri" w:cs="Calibri"/>
          <w:sz w:val="28"/>
          <w:szCs w:val="28"/>
        </w:rPr>
        <w:t>natureza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coletiva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impondo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ao</w:t>
      </w:r>
      <w:proofErr w:type="spellEnd"/>
      <w:r>
        <w:rPr>
          <w:rFonts w:ascii="Calibri" w:hAnsi="Calibri" w:cs="Calibri"/>
          <w:sz w:val="28"/>
          <w:szCs w:val="28"/>
        </w:rPr>
        <w:t xml:space="preserve"> Poder Público o </w:t>
      </w:r>
      <w:proofErr w:type="spellStart"/>
      <w:r>
        <w:rPr>
          <w:rFonts w:ascii="Calibri" w:hAnsi="Calibri" w:cs="Calibri"/>
          <w:sz w:val="28"/>
          <w:szCs w:val="28"/>
        </w:rPr>
        <w:t>dever</w:t>
      </w:r>
      <w:proofErr w:type="spellEnd"/>
      <w:r>
        <w:rPr>
          <w:rFonts w:ascii="Calibri" w:hAnsi="Calibri" w:cs="Calibri"/>
          <w:sz w:val="28"/>
          <w:szCs w:val="28"/>
        </w:rPr>
        <w:t xml:space="preserve"> de </w:t>
      </w:r>
      <w:proofErr w:type="spellStart"/>
      <w:r>
        <w:rPr>
          <w:rFonts w:ascii="Calibri" w:hAnsi="Calibri" w:cs="Calibri"/>
          <w:sz w:val="28"/>
          <w:szCs w:val="28"/>
        </w:rPr>
        <w:t>adotar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medidas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preventivas</w:t>
      </w:r>
      <w:proofErr w:type="spellEnd"/>
      <w:r>
        <w:rPr>
          <w:rFonts w:ascii="Calibri" w:hAnsi="Calibri" w:cs="Calibri"/>
          <w:sz w:val="28"/>
          <w:szCs w:val="28"/>
        </w:rPr>
        <w:t xml:space="preserve"> para </w:t>
      </w:r>
      <w:proofErr w:type="spellStart"/>
      <w:r>
        <w:rPr>
          <w:rFonts w:ascii="Calibri" w:hAnsi="Calibri" w:cs="Calibri"/>
          <w:sz w:val="28"/>
          <w:szCs w:val="28"/>
        </w:rPr>
        <w:t>evitar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danos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em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observância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aos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princípios</w:t>
      </w:r>
      <w:proofErr w:type="spellEnd"/>
      <w:r>
        <w:rPr>
          <w:rFonts w:ascii="Calibri" w:hAnsi="Calibri" w:cs="Calibri"/>
          <w:sz w:val="28"/>
          <w:szCs w:val="28"/>
        </w:rPr>
        <w:t xml:space="preserve"> da </w:t>
      </w:r>
      <w:proofErr w:type="spellStart"/>
      <w:r>
        <w:rPr>
          <w:rFonts w:ascii="Calibri" w:hAnsi="Calibri" w:cs="Calibri"/>
          <w:sz w:val="28"/>
          <w:szCs w:val="28"/>
        </w:rPr>
        <w:t>prevenção</w:t>
      </w:r>
      <w:proofErr w:type="spellEnd"/>
      <w:r>
        <w:rPr>
          <w:rFonts w:ascii="Calibri" w:hAnsi="Calibri" w:cs="Calibri"/>
          <w:sz w:val="28"/>
          <w:szCs w:val="28"/>
        </w:rPr>
        <w:t xml:space="preserve"> e da </w:t>
      </w:r>
      <w:proofErr w:type="spellStart"/>
      <w:r>
        <w:rPr>
          <w:rFonts w:ascii="Calibri" w:hAnsi="Calibri" w:cs="Calibri"/>
          <w:sz w:val="28"/>
          <w:szCs w:val="28"/>
        </w:rPr>
        <w:t>precaução</w:t>
      </w:r>
      <w:proofErr w:type="spellEnd"/>
      <w:r>
        <w:rPr>
          <w:rFonts w:ascii="Calibri" w:hAnsi="Calibri" w:cs="Calibri"/>
          <w:sz w:val="28"/>
          <w:szCs w:val="28"/>
        </w:rPr>
        <w:t xml:space="preserve">. A Corte </w:t>
      </w:r>
      <w:proofErr w:type="spellStart"/>
      <w:r>
        <w:rPr>
          <w:rFonts w:ascii="Calibri" w:hAnsi="Calibri" w:cs="Calibri"/>
          <w:sz w:val="28"/>
          <w:szCs w:val="28"/>
        </w:rPr>
        <w:t>também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consolidou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entendimento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quanto</w:t>
      </w:r>
      <w:proofErr w:type="spellEnd"/>
      <w:r>
        <w:rPr>
          <w:rFonts w:ascii="Calibri" w:hAnsi="Calibri" w:cs="Calibri"/>
          <w:sz w:val="28"/>
          <w:szCs w:val="28"/>
        </w:rPr>
        <w:t xml:space="preserve"> à </w:t>
      </w:r>
      <w:proofErr w:type="spellStart"/>
      <w:r>
        <w:rPr>
          <w:rFonts w:ascii="Calibri" w:hAnsi="Calibri" w:cs="Calibri"/>
          <w:sz w:val="28"/>
          <w:szCs w:val="28"/>
        </w:rPr>
        <w:t>possibilidade</w:t>
      </w:r>
      <w:proofErr w:type="spellEnd"/>
      <w:r>
        <w:rPr>
          <w:rFonts w:ascii="Calibri" w:hAnsi="Calibri" w:cs="Calibri"/>
          <w:sz w:val="28"/>
          <w:szCs w:val="28"/>
        </w:rPr>
        <w:t xml:space="preserve"> de </w:t>
      </w:r>
      <w:proofErr w:type="spellStart"/>
      <w:r>
        <w:rPr>
          <w:rFonts w:ascii="Calibri" w:hAnsi="Calibri" w:cs="Calibri"/>
          <w:sz w:val="28"/>
          <w:szCs w:val="28"/>
        </w:rPr>
        <w:t>imposição</w:t>
      </w:r>
      <w:proofErr w:type="spellEnd"/>
      <w:r>
        <w:rPr>
          <w:rFonts w:ascii="Calibri" w:hAnsi="Calibri" w:cs="Calibri"/>
          <w:sz w:val="28"/>
          <w:szCs w:val="28"/>
        </w:rPr>
        <w:t xml:space="preserve"> de </w:t>
      </w:r>
      <w:proofErr w:type="spellStart"/>
      <w:r>
        <w:rPr>
          <w:rFonts w:ascii="Calibri" w:hAnsi="Calibri" w:cs="Calibri"/>
          <w:sz w:val="28"/>
          <w:szCs w:val="28"/>
        </w:rPr>
        <w:t>restrições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administrativas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uso</w:t>
      </w:r>
      <w:proofErr w:type="spellEnd"/>
      <w:r>
        <w:rPr>
          <w:rFonts w:ascii="Calibri" w:hAnsi="Calibri" w:cs="Calibri"/>
          <w:sz w:val="28"/>
          <w:szCs w:val="28"/>
        </w:rPr>
        <w:t xml:space="preserve"> da </w:t>
      </w:r>
      <w:proofErr w:type="spellStart"/>
      <w:r>
        <w:rPr>
          <w:rFonts w:ascii="Calibri" w:hAnsi="Calibri" w:cs="Calibri"/>
          <w:sz w:val="28"/>
          <w:szCs w:val="28"/>
        </w:rPr>
        <w:t>propriedade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privada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quando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presentes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riscos</w:t>
      </w:r>
      <w:proofErr w:type="spellEnd"/>
      <w:r>
        <w:rPr>
          <w:rFonts w:ascii="Calibri" w:hAnsi="Calibri" w:cs="Calibri"/>
          <w:sz w:val="28"/>
          <w:szCs w:val="28"/>
        </w:rPr>
        <w:t xml:space="preserve"> à </w:t>
      </w:r>
      <w:proofErr w:type="spellStart"/>
      <w:r>
        <w:rPr>
          <w:rFonts w:ascii="Calibri" w:hAnsi="Calibri" w:cs="Calibri"/>
          <w:sz w:val="28"/>
          <w:szCs w:val="28"/>
        </w:rPr>
        <w:t>coletividade</w:t>
      </w:r>
      <w:proofErr w:type="spellEnd"/>
      <w:r>
        <w:rPr>
          <w:rFonts w:ascii="Calibri" w:hAnsi="Calibri" w:cs="Calibri"/>
          <w:sz w:val="28"/>
          <w:szCs w:val="28"/>
        </w:rPr>
        <w:t xml:space="preserve"> e à </w:t>
      </w:r>
      <w:proofErr w:type="spellStart"/>
      <w:r>
        <w:rPr>
          <w:rFonts w:ascii="Calibri" w:hAnsi="Calibri" w:cs="Calibri"/>
          <w:sz w:val="28"/>
          <w:szCs w:val="28"/>
        </w:rPr>
        <w:t>infraestrutura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pública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bem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como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quanto</w:t>
      </w:r>
      <w:proofErr w:type="spellEnd"/>
      <w:r>
        <w:rPr>
          <w:rFonts w:ascii="Calibri" w:hAnsi="Calibri" w:cs="Calibri"/>
          <w:sz w:val="28"/>
          <w:szCs w:val="28"/>
        </w:rPr>
        <w:t xml:space="preserve"> à </w:t>
      </w:r>
      <w:proofErr w:type="spellStart"/>
      <w:r>
        <w:rPr>
          <w:rFonts w:ascii="Calibri" w:hAnsi="Calibri" w:cs="Calibri"/>
          <w:sz w:val="28"/>
          <w:szCs w:val="28"/>
        </w:rPr>
        <w:t>responsabilidade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objetiva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por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danos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ambientais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independentemente</w:t>
      </w:r>
      <w:proofErr w:type="spellEnd"/>
      <w:r>
        <w:rPr>
          <w:rFonts w:ascii="Calibri" w:hAnsi="Calibri" w:cs="Calibri"/>
          <w:sz w:val="28"/>
          <w:szCs w:val="28"/>
        </w:rPr>
        <w:t xml:space="preserve"> da </w:t>
      </w:r>
      <w:proofErr w:type="spellStart"/>
      <w:r>
        <w:rPr>
          <w:rFonts w:ascii="Calibri" w:hAnsi="Calibri" w:cs="Calibri"/>
          <w:sz w:val="28"/>
          <w:szCs w:val="28"/>
        </w:rPr>
        <w:t>comprovação</w:t>
      </w:r>
      <w:proofErr w:type="spellEnd"/>
      <w:r>
        <w:rPr>
          <w:rFonts w:ascii="Calibri" w:hAnsi="Calibri" w:cs="Calibri"/>
          <w:sz w:val="28"/>
          <w:szCs w:val="28"/>
        </w:rPr>
        <w:t xml:space="preserve"> de culpa. Nesse </w:t>
      </w:r>
      <w:proofErr w:type="spellStart"/>
      <w:r>
        <w:rPr>
          <w:rFonts w:ascii="Calibri" w:hAnsi="Calibri" w:cs="Calibri"/>
          <w:sz w:val="28"/>
          <w:szCs w:val="28"/>
        </w:rPr>
        <w:t>contexto</w:t>
      </w:r>
      <w:proofErr w:type="spellEnd"/>
      <w:r>
        <w:rPr>
          <w:rFonts w:ascii="Calibri" w:hAnsi="Calibri" w:cs="Calibri"/>
          <w:sz w:val="28"/>
          <w:szCs w:val="28"/>
        </w:rPr>
        <w:t xml:space="preserve">, a </w:t>
      </w:r>
      <w:proofErr w:type="spellStart"/>
      <w:r>
        <w:rPr>
          <w:rFonts w:ascii="Calibri" w:hAnsi="Calibri" w:cs="Calibri"/>
          <w:sz w:val="28"/>
          <w:szCs w:val="28"/>
        </w:rPr>
        <w:t>presente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proposição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encontra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sólido</w:t>
      </w:r>
      <w:proofErr w:type="spellEnd"/>
      <w:r>
        <w:rPr>
          <w:rFonts w:ascii="Calibri" w:hAnsi="Calibri" w:cs="Calibri"/>
          <w:sz w:val="28"/>
          <w:szCs w:val="28"/>
        </w:rPr>
        <w:t xml:space="preserve"> amparo </w:t>
      </w:r>
      <w:proofErr w:type="spellStart"/>
      <w:r>
        <w:rPr>
          <w:rFonts w:ascii="Calibri" w:hAnsi="Calibri" w:cs="Calibri"/>
          <w:sz w:val="28"/>
          <w:szCs w:val="28"/>
        </w:rPr>
        <w:t>na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orientação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constitucional</w:t>
      </w:r>
      <w:proofErr w:type="spellEnd"/>
      <w:r>
        <w:rPr>
          <w:rFonts w:ascii="Calibri" w:hAnsi="Calibri" w:cs="Calibri"/>
          <w:sz w:val="28"/>
          <w:szCs w:val="28"/>
        </w:rPr>
        <w:t xml:space="preserve"> e </w:t>
      </w:r>
      <w:proofErr w:type="spellStart"/>
      <w:r>
        <w:rPr>
          <w:rFonts w:ascii="Calibri" w:hAnsi="Calibri" w:cs="Calibri"/>
          <w:sz w:val="28"/>
          <w:szCs w:val="28"/>
        </w:rPr>
        <w:t>jurisprudencial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vigente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ao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estabelecer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mecanismos</w:t>
      </w:r>
      <w:proofErr w:type="spellEnd"/>
      <w:r>
        <w:rPr>
          <w:rFonts w:ascii="Calibri" w:hAnsi="Calibri" w:cs="Calibri"/>
          <w:sz w:val="28"/>
          <w:szCs w:val="28"/>
        </w:rPr>
        <w:t xml:space="preserve"> de </w:t>
      </w:r>
      <w:proofErr w:type="spellStart"/>
      <w:r>
        <w:rPr>
          <w:rFonts w:ascii="Calibri" w:hAnsi="Calibri" w:cs="Calibri"/>
          <w:sz w:val="28"/>
          <w:szCs w:val="28"/>
        </w:rPr>
        <w:t>controle</w:t>
      </w:r>
      <w:proofErr w:type="spellEnd"/>
      <w:r>
        <w:rPr>
          <w:rFonts w:ascii="Calibri" w:hAnsi="Calibri" w:cs="Calibri"/>
          <w:sz w:val="28"/>
          <w:szCs w:val="28"/>
        </w:rPr>
        <w:t xml:space="preserve"> e </w:t>
      </w:r>
      <w:proofErr w:type="spellStart"/>
      <w:r>
        <w:rPr>
          <w:rFonts w:ascii="Calibri" w:hAnsi="Calibri" w:cs="Calibri"/>
          <w:sz w:val="28"/>
          <w:szCs w:val="28"/>
        </w:rPr>
        <w:t>prevenção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capazes</w:t>
      </w:r>
      <w:proofErr w:type="spellEnd"/>
      <w:r>
        <w:rPr>
          <w:rFonts w:ascii="Calibri" w:hAnsi="Calibri" w:cs="Calibri"/>
          <w:sz w:val="28"/>
          <w:szCs w:val="28"/>
        </w:rPr>
        <w:t xml:space="preserve"> de </w:t>
      </w:r>
      <w:proofErr w:type="spellStart"/>
      <w:r>
        <w:rPr>
          <w:rFonts w:ascii="Calibri" w:hAnsi="Calibri" w:cs="Calibri"/>
          <w:sz w:val="28"/>
          <w:szCs w:val="28"/>
        </w:rPr>
        <w:t>evitar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prejuízos</w:t>
      </w:r>
      <w:proofErr w:type="spellEnd"/>
      <w:r>
        <w:rPr>
          <w:rFonts w:ascii="Calibri" w:hAnsi="Calibri" w:cs="Calibri"/>
          <w:sz w:val="28"/>
          <w:szCs w:val="28"/>
        </w:rPr>
        <w:t xml:space="preserve"> à </w:t>
      </w:r>
      <w:proofErr w:type="spellStart"/>
      <w:r>
        <w:rPr>
          <w:rFonts w:ascii="Calibri" w:hAnsi="Calibri" w:cs="Calibri"/>
          <w:sz w:val="28"/>
          <w:szCs w:val="28"/>
        </w:rPr>
        <w:t>malha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viária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estadual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ao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meio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ambiente</w:t>
      </w:r>
      <w:proofErr w:type="spellEnd"/>
      <w:r>
        <w:rPr>
          <w:rFonts w:ascii="Calibri" w:hAnsi="Calibri" w:cs="Calibri"/>
          <w:sz w:val="28"/>
          <w:szCs w:val="28"/>
        </w:rPr>
        <w:t xml:space="preserve"> e à </w:t>
      </w:r>
      <w:proofErr w:type="spellStart"/>
      <w:r>
        <w:rPr>
          <w:rFonts w:ascii="Calibri" w:hAnsi="Calibri" w:cs="Calibri"/>
          <w:sz w:val="28"/>
          <w:szCs w:val="28"/>
        </w:rPr>
        <w:t>segurança</w:t>
      </w:r>
      <w:proofErr w:type="spellEnd"/>
      <w:r>
        <w:rPr>
          <w:rFonts w:ascii="Calibri" w:hAnsi="Calibri" w:cs="Calibri"/>
          <w:sz w:val="28"/>
          <w:szCs w:val="28"/>
        </w:rPr>
        <w:t xml:space="preserve"> da </w:t>
      </w:r>
      <w:proofErr w:type="spellStart"/>
      <w:r>
        <w:rPr>
          <w:rFonts w:ascii="Calibri" w:hAnsi="Calibri" w:cs="Calibri"/>
          <w:sz w:val="28"/>
          <w:szCs w:val="28"/>
        </w:rPr>
        <w:t>população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14:paraId="3A098936" w14:textId="77777777" w:rsidR="005A55E7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>A aprovação da presente Lei atende ao interesse público ao:</w:t>
      </w:r>
    </w:p>
    <w:p w14:paraId="1AE19DF5" w14:textId="77777777" w:rsidR="005A55E7" w:rsidRDefault="000000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 xml:space="preserve">Preservar vidas humanas; </w:t>
      </w:r>
    </w:p>
    <w:p w14:paraId="5C758277" w14:textId="77777777" w:rsidR="005A55E7" w:rsidRDefault="000000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 xml:space="preserve">Reduzir gastos públicos com recuperação de rodovias; </w:t>
      </w:r>
    </w:p>
    <w:p w14:paraId="231AED7E" w14:textId="77777777" w:rsidR="005A55E7" w:rsidRDefault="000000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 xml:space="preserve">Garantir a mobilidade e o escoamento da produção; </w:t>
      </w:r>
    </w:p>
    <w:p w14:paraId="5B15C194" w14:textId="77777777" w:rsidR="005A55E7" w:rsidRDefault="000000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 xml:space="preserve">Proteger o meio ambiente; </w:t>
      </w:r>
    </w:p>
    <w:p w14:paraId="6CB03D8E" w14:textId="77777777" w:rsidR="005A55E7" w:rsidRDefault="0000000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 xml:space="preserve">Prevenir desastres estruturais e naturais. </w:t>
      </w:r>
    </w:p>
    <w:p w14:paraId="403654EA" w14:textId="77777777" w:rsidR="005A55E7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>Des</w:t>
      </w:r>
      <w:r>
        <w:rPr>
          <w:rFonts w:eastAsia="Times New Roman" w:cstheme="minorHAnsi"/>
          <w:sz w:val="28"/>
          <w:szCs w:val="28"/>
          <w:lang w:val="en-US" w:eastAsia="pt-BR"/>
        </w:rPr>
        <w:t>tarte</w:t>
      </w:r>
      <w:r>
        <w:rPr>
          <w:rFonts w:eastAsia="Times New Roman" w:cstheme="minorHAnsi"/>
          <w:sz w:val="28"/>
          <w:szCs w:val="28"/>
          <w:lang w:eastAsia="pt-BR"/>
        </w:rPr>
        <w:t>, torna-se imprescindível estabelecer normas claras e rigorosas para disciplinar o uso do solo nas proximidades das rodovias estaduais, evitando a repetição de episódios como o ocorrido na MA-014.</w:t>
      </w:r>
    </w:p>
    <w:p w14:paraId="7F64773C" w14:textId="77777777" w:rsidR="005A55E7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sz w:val="28"/>
          <w:szCs w:val="28"/>
          <w:lang w:eastAsia="pt-BR"/>
        </w:rPr>
        <w:t>Diante do exposto, solicitamos o apoio dos Nobres Deputados para a aprovação da presente proposição.</w:t>
      </w:r>
    </w:p>
    <w:p w14:paraId="4C3F3E05" w14:textId="77777777" w:rsidR="005A55E7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 xml:space="preserve">PLENÁRIO “DEPUTADO NAGIB HAICKEL”, DO PALÁCIO “MANOEL BECKMAN”, EM SÃO LUÍS/MA, ____ DE __________ </w:t>
      </w:r>
      <w:proofErr w:type="spellStart"/>
      <w:r>
        <w:rPr>
          <w:rFonts w:eastAsia="Times New Roman" w:cstheme="minorHAnsi"/>
          <w:b/>
          <w:bCs/>
          <w:sz w:val="28"/>
          <w:szCs w:val="28"/>
          <w:lang w:eastAsia="pt-BR"/>
        </w:rPr>
        <w:t>DE</w:t>
      </w:r>
      <w:proofErr w:type="spellEnd"/>
      <w:r>
        <w:rPr>
          <w:rFonts w:eastAsia="Times New Roman" w:cstheme="minorHAnsi"/>
          <w:b/>
          <w:bCs/>
          <w:sz w:val="28"/>
          <w:szCs w:val="28"/>
          <w:lang w:eastAsia="pt-BR"/>
        </w:rPr>
        <w:t xml:space="preserve"> 2026.</w:t>
      </w:r>
    </w:p>
    <w:p w14:paraId="313B1E28" w14:textId="77777777" w:rsidR="005A55E7" w:rsidRDefault="005A55E7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4400C44A" w14:textId="77777777" w:rsidR="005A55E7" w:rsidRDefault="00000000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>JOTA PINTO</w:t>
      </w:r>
      <w:r>
        <w:rPr>
          <w:rFonts w:eastAsia="Times New Roman" w:cstheme="minorHAnsi"/>
          <w:sz w:val="28"/>
          <w:szCs w:val="28"/>
          <w:lang w:eastAsia="pt-BR"/>
        </w:rPr>
        <w:br/>
        <w:t>Deputado Estadual</w:t>
      </w:r>
    </w:p>
    <w:p w14:paraId="6C7729F7" w14:textId="77777777" w:rsidR="005A55E7" w:rsidRDefault="005A55E7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3291D5D4" w14:textId="77777777" w:rsidR="005A55E7" w:rsidRDefault="005A55E7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t-BR"/>
        </w:rPr>
      </w:pPr>
    </w:p>
    <w:p w14:paraId="1FC4EB7A" w14:textId="77777777" w:rsidR="005A55E7" w:rsidRDefault="005A55E7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</w:p>
    <w:p w14:paraId="608A6968" w14:textId="77777777" w:rsidR="005A55E7" w:rsidRDefault="005A55E7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</w:p>
    <w:p w14:paraId="38FA9C90" w14:textId="77777777" w:rsidR="005A55E7" w:rsidRDefault="005A55E7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BR"/>
        </w:rPr>
      </w:pPr>
    </w:p>
    <w:p w14:paraId="01551BBB" w14:textId="77777777" w:rsidR="005A55E7" w:rsidRDefault="005A55E7">
      <w:pPr>
        <w:jc w:val="both"/>
        <w:rPr>
          <w:rFonts w:cstheme="minorHAnsi"/>
          <w:sz w:val="28"/>
          <w:szCs w:val="28"/>
        </w:rPr>
      </w:pPr>
    </w:p>
    <w:sectPr w:rsidR="005A55E7">
      <w:headerReference w:type="default" r:id="rId7"/>
      <w:pgSz w:w="11906" w:h="16838"/>
      <w:pgMar w:top="1170" w:right="1274" w:bottom="1560" w:left="1276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18212" w14:textId="77777777" w:rsidR="000F2909" w:rsidRDefault="000F2909">
      <w:pPr>
        <w:spacing w:line="240" w:lineRule="auto"/>
      </w:pPr>
      <w:r>
        <w:separator/>
      </w:r>
    </w:p>
  </w:endnote>
  <w:endnote w:type="continuationSeparator" w:id="0">
    <w:p w14:paraId="0A87F82D" w14:textId="77777777" w:rsidR="000F2909" w:rsidRDefault="000F29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46EA3" w14:textId="77777777" w:rsidR="000F2909" w:rsidRDefault="000F2909">
      <w:pPr>
        <w:spacing w:after="0"/>
      </w:pPr>
      <w:r>
        <w:separator/>
      </w:r>
    </w:p>
  </w:footnote>
  <w:footnote w:type="continuationSeparator" w:id="0">
    <w:p w14:paraId="0D927944" w14:textId="77777777" w:rsidR="000F2909" w:rsidRDefault="000F29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7A520" w14:textId="77777777" w:rsidR="005A55E7" w:rsidRDefault="00000000">
    <w:pPr>
      <w:pStyle w:val="Cabealho"/>
      <w:jc w:val="center"/>
    </w:pPr>
    <w:r>
      <w:rPr>
        <w:noProof/>
      </w:rPr>
      <w:drawing>
        <wp:inline distT="0" distB="0" distL="0" distR="0" wp14:anchorId="1489E168" wp14:editId="08990EE1">
          <wp:extent cx="2194560" cy="1394460"/>
          <wp:effectExtent l="0" t="0" r="0" b="0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94560" cy="1394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C1E5A"/>
    <w:multiLevelType w:val="multilevel"/>
    <w:tmpl w:val="05BC1E5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CD6681"/>
    <w:multiLevelType w:val="multilevel"/>
    <w:tmpl w:val="58CD668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1992591">
    <w:abstractNumId w:val="1"/>
  </w:num>
  <w:num w:numId="2" w16cid:durableId="1498037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11D"/>
    <w:rsid w:val="000F2909"/>
    <w:rsid w:val="001563DB"/>
    <w:rsid w:val="001C011D"/>
    <w:rsid w:val="003B5641"/>
    <w:rsid w:val="005A55E7"/>
    <w:rsid w:val="006372F5"/>
    <w:rsid w:val="007F4405"/>
    <w:rsid w:val="00847367"/>
    <w:rsid w:val="00A76354"/>
    <w:rsid w:val="00AA7130"/>
    <w:rsid w:val="00AF4E28"/>
    <w:rsid w:val="00BF63F7"/>
    <w:rsid w:val="18A106D3"/>
    <w:rsid w:val="1E2E0481"/>
    <w:rsid w:val="3F4263D8"/>
    <w:rsid w:val="77FC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8C220"/>
  <w15:docId w15:val="{DFE124A0-9A2F-404C-B33D-4620C039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1190</Words>
  <Characters>6431</Characters>
  <Application>Microsoft Office Word</Application>
  <DocSecurity>0</DocSecurity>
  <Lines>53</Lines>
  <Paragraphs>15</Paragraphs>
  <ScaleCrop>false</ScaleCrop>
  <Company/>
  <LinksUpToDate>false</LinksUpToDate>
  <CharactersWithSpaces>7606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Luís Carlos Pereira</dc:creator>
  <cp:lastModifiedBy>Dep. Jota Pinto</cp:lastModifiedBy>
  <cp:revision>2</cp:revision>
  <dcterms:created xsi:type="dcterms:W3CDTF">2026-05-12T12:30:00Z</dcterms:created>
  <dcterms:modified xsi:type="dcterms:W3CDTF">2026-05-12T12:30:00Z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eyJoZGlkIjoiMWI3MjNiMmIzYjVmYTJlODQ0MjhhNTllNzI0ZjE0YzAiLCJ1c2VySWQiOiIxMjM2OTUxMDg5OTUyIn0=</vt:lpwstr>
  </property>
  <property fmtid="{D5CDD505-2E9C-101B-9397-08002B2CF9AE}" pid="3" name="KSOProductBuildVer">
    <vt:lpwstr>1046-12.1.0.25242</vt:lpwstr>
  </property>
  <property fmtid="{D5CDD505-2E9C-101B-9397-08002B2CF9AE}" pid="4" name="ICV">
    <vt:lpwstr>B1173211C60044E49C4DA98F66F9008B_12</vt:lpwstr>
  </property>
</Properties>
</file>