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D4CA0" w14:textId="77777777" w:rsidR="006C49DD" w:rsidRPr="008A1F96" w:rsidRDefault="006C49DD" w:rsidP="002E43FF">
      <w:pPr>
        <w:jc w:val="both"/>
        <w:rPr>
          <w:rFonts w:ascii="Times New Roman" w:hAnsi="Times New Roman"/>
          <w:b/>
          <w:sz w:val="24"/>
          <w:szCs w:val="24"/>
        </w:rPr>
      </w:pPr>
    </w:p>
    <w:p w14:paraId="75A8BCEA" w14:textId="77777777" w:rsidR="002E43FF" w:rsidRPr="008A1F96" w:rsidRDefault="002E43FF" w:rsidP="002E43FF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A1F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 DE LEI Nº ____/2026</w:t>
      </w:r>
    </w:p>
    <w:p w14:paraId="722A8C08" w14:textId="77777777" w:rsidR="00E338CF" w:rsidRPr="008A1F96" w:rsidRDefault="00E338CF" w:rsidP="002E43FF">
      <w:pPr>
        <w:ind w:left="226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64CDB56" w14:textId="0CB92676" w:rsidR="007A0695" w:rsidRDefault="00BB4A4B" w:rsidP="00BB4A4B">
      <w:pPr>
        <w:ind w:left="226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4A4B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e acrescenta dispositivos à Lei nº 8.089, de 25 de fevereiro de 2004, que dispõe sobre a Política Estadual de Desenvolvimento da Pesca e da Aquicultura, para reforçar a biossegurança aquícola, prevenir escapes e vedar introdução/soltura irregular de espécies em ambientes aquáticos abertos, e dá outras providências.</w:t>
      </w:r>
    </w:p>
    <w:p w14:paraId="481655BB" w14:textId="77777777" w:rsidR="00BB4A4B" w:rsidRDefault="00BB4A4B" w:rsidP="002E43F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38E847" w14:textId="380F900F" w:rsidR="002E43FF" w:rsidRPr="008A1F96" w:rsidRDefault="002E43FF" w:rsidP="002E43F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A1F96">
        <w:rPr>
          <w:rFonts w:ascii="Times New Roman" w:eastAsia="Times New Roman" w:hAnsi="Times New Roman" w:cs="Times New Roman"/>
          <w:sz w:val="24"/>
          <w:szCs w:val="24"/>
          <w:lang w:eastAsia="pt-BR"/>
        </w:rPr>
        <w:t>A ASSEMBLEIA LEGISLATIVA DO ESTADO DO MARANHÃO DECRETA:</w:t>
      </w:r>
    </w:p>
    <w:p w14:paraId="567B1429" w14:textId="77777777" w:rsidR="002E43FF" w:rsidRPr="008A1F96" w:rsidRDefault="002E43FF" w:rsidP="002E43FF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A34F71C" w14:textId="77777777" w:rsidR="00F03851" w:rsidRDefault="00F03851" w:rsidP="00A424D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A4434D1" w14:textId="77777777" w:rsidR="0085261F" w:rsidRPr="0085261F" w:rsidRDefault="0085261F" w:rsidP="0085261F">
      <w:pPr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b/>
          <w:bCs/>
          <w:sz w:val="24"/>
        </w:rPr>
        <w:t>Art. 1º</w:t>
      </w:r>
      <w:r w:rsidRPr="0085261F">
        <w:rPr>
          <w:rFonts w:ascii="Times New Roman" w:eastAsia="MS Mincho" w:hAnsi="Times New Roman" w:cs="Times New Roman"/>
          <w:sz w:val="24"/>
        </w:rPr>
        <w:t xml:space="preserve"> O art. 31 da Lei nº 8.089, de 25 de fevereiro de 2004, passa a vigorar acrescido dos §§ 5º, 6º, 7º e 8º, com a seguinte redação:</w:t>
      </w:r>
    </w:p>
    <w:p w14:paraId="75AAEE88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398DCD3B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“Art. 31. (...)</w:t>
      </w:r>
    </w:p>
    <w:p w14:paraId="10072F5F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§ 5º Na criação de espécies exóticas, cabe ao </w:t>
      </w:r>
      <w:proofErr w:type="spellStart"/>
      <w:r w:rsidRPr="0085261F">
        <w:rPr>
          <w:rFonts w:ascii="Times New Roman" w:eastAsia="MS Mincho" w:hAnsi="Times New Roman" w:cs="Times New Roman"/>
          <w:sz w:val="24"/>
        </w:rPr>
        <w:t>aqüicultor</w:t>
      </w:r>
      <w:proofErr w:type="spellEnd"/>
      <w:r w:rsidRPr="0085261F">
        <w:rPr>
          <w:rFonts w:ascii="Times New Roman" w:eastAsia="MS Mincho" w:hAnsi="Times New Roman" w:cs="Times New Roman"/>
          <w:sz w:val="24"/>
        </w:rPr>
        <w:t xml:space="preserve"> assegurar a contenção da espécie no âmbito do cativeiro, impedindo seu acesso às águas da bacia hidrográfica em que se situar o empreendimento.</w:t>
      </w:r>
    </w:p>
    <w:p w14:paraId="7EB1084E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§ 6º Para fins do § 5º, a contenção compreenderá, no mínimo, a adoção de medidas de biossegurança economicamente e tecnologicamente viáveis, destinadas a impedir a fuga de espécimes em qualquer fase de desenvolvimento, inclusive ovos, larvas e alevinos, para o ambiente natural.</w:t>
      </w:r>
    </w:p>
    <w:p w14:paraId="68988C66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§ 7º As medidas de biossegurança previstas no § 6º poderão incluir, entre outras, telas, malhas, filtros, grades, caixas de retenção/decantação, dispositivos de transbordamento seguro (“overflow”) e sistemas de controle de entrada e saída de água, conforme porte e risco do empreendimento e as características do local.</w:t>
      </w:r>
    </w:p>
    <w:p w14:paraId="3F4F0CD5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lastRenderedPageBreak/>
        <w:t>§ 8º O licenciamento ambiental e as demais autorizações aplicáveis aos empreendimentos aquícolas que envolvam espécies exóticas, alóctones ou híbridos deverão contemplar condicionantes proporcionais ao risco, podendo exigir plano de contingência para eventos de cheia/transbordamento e rotinas operacionais de prevenção de escape, na forma do regulamento.</w:t>
      </w:r>
    </w:p>
    <w:p w14:paraId="220DAF57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§ 9º O descumprimento das medidas e condicionantes de biossegurança de que tratam os §§ 6º a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8º sujeita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o infrator às penalidades previstas nesta Lei e na legislação ambiental vigente.”</w:t>
      </w:r>
    </w:p>
    <w:p w14:paraId="020C63CB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305D054A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b/>
          <w:bCs/>
          <w:sz w:val="24"/>
        </w:rPr>
        <w:t>Art. 2º</w:t>
      </w:r>
      <w:r w:rsidRPr="0085261F">
        <w:rPr>
          <w:rFonts w:ascii="Times New Roman" w:eastAsia="MS Mincho" w:hAnsi="Times New Roman" w:cs="Times New Roman"/>
          <w:sz w:val="24"/>
        </w:rPr>
        <w:t xml:space="preserve"> A Lei nº 8.089, de 25 de fevereiro de 2004, passa a vigorar acrescida dos </w:t>
      </w:r>
      <w:proofErr w:type="spellStart"/>
      <w:r w:rsidRPr="0085261F">
        <w:rPr>
          <w:rFonts w:ascii="Times New Roman" w:eastAsia="MS Mincho" w:hAnsi="Times New Roman" w:cs="Times New Roman"/>
          <w:sz w:val="24"/>
        </w:rPr>
        <w:t>arts</w:t>
      </w:r>
      <w:proofErr w:type="spellEnd"/>
      <w:r w:rsidRPr="0085261F">
        <w:rPr>
          <w:rFonts w:ascii="Times New Roman" w:eastAsia="MS Mincho" w:hAnsi="Times New Roman" w:cs="Times New Roman"/>
          <w:sz w:val="24"/>
        </w:rPr>
        <w:t>. 32-A, 32-B, 32-C e 32-D, com a seguinte redação:</w:t>
      </w:r>
    </w:p>
    <w:p w14:paraId="7BA0B79B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5FB0B057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“Art. 32-A. Para fins de gestão de risco biológico e definição de medidas de prevenção e controle, o regulamento poderá adotar critérios de unidade hidrográfica/área de ocorrência natural, distinguindo:</w:t>
      </w:r>
    </w:p>
    <w:p w14:paraId="1869DD56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espécies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autóctones (nativas da unidade hidrográfica local);</w:t>
      </w:r>
    </w:p>
    <w:p w14:paraId="305CFD04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espécies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alóctones (nativas do Brasil, porém introduzidas fora de sua área de ocorrência natural na unidade hidrográfica local);</w:t>
      </w:r>
    </w:p>
    <w:p w14:paraId="7A6354F2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III – espécies exóticas e exóticas invasoras, conforme avaliação técnico-científica.</w:t>
      </w:r>
    </w:p>
    <w:p w14:paraId="4FBEC797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</w:p>
    <w:p w14:paraId="64FBD979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Art. 32-B. A presença, em vida livre, de espécies exóticas invasoras aquáticas ou de espécies alóctones com impacto ambiental ou socioeconômico relevante, especialmente sobre a pesca artesanal, poderá ser objeto de ações de manejo e controle, observadas as competências e autorizações dos órgãos competentes, incluindo, quando tecnicamente indicado, a pesca de controle.</w:t>
      </w:r>
    </w:p>
    <w:p w14:paraId="2CD2ED32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§ 1º A pesca de controle, quando adotada, deverá observar diretrizes mínimas de biossegurança e prevenção de dispersão, vedados </w:t>
      </w:r>
      <w:r w:rsidRPr="0085261F">
        <w:rPr>
          <w:rFonts w:ascii="Times New Roman" w:eastAsia="MS Mincho" w:hAnsi="Times New Roman" w:cs="Times New Roman"/>
          <w:sz w:val="24"/>
        </w:rPr>
        <w:lastRenderedPageBreak/>
        <w:t>repovoamento, soltura e translocação com a finalidade de manter ou ampliar populações invasoras.</w:t>
      </w:r>
    </w:p>
    <w:p w14:paraId="32E262C5" w14:textId="77777777" w:rsidR="0085261F" w:rsidRPr="0085261F" w:rsidRDefault="0085261F" w:rsidP="005D4E50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§ 2º O aproveitamento econômico do pescado oriundo de pesca de controle poderá ser estimulado por ações de orientação e boas práticas, sem prejuízo da legislação sanitária aplicável.</w:t>
      </w:r>
    </w:p>
    <w:p w14:paraId="31F3DD9C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</w:p>
    <w:p w14:paraId="73896C6E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Art. 32-C. O Estado, em cooperação com a União e com os Municípios, poderá estabelecer diretrizes de detecção precoce e resposta rápida para ocorrência de espécies exóticas invasoras aquáticas e alóctones em ambientes aquáticos, priorizando:</w:t>
      </w:r>
    </w:p>
    <w:p w14:paraId="7A11B217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mapeamento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de áreas críticas e rotas de dispersão;</w:t>
      </w:r>
    </w:p>
    <w:p w14:paraId="13EA1F8F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orientação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comunitária e canais de comunicação de ocorrências;</w:t>
      </w:r>
    </w:p>
    <w:p w14:paraId="17C96687" w14:textId="77777777" w:rsidR="0085261F" w:rsidRPr="0085261F" w:rsidRDefault="0085261F" w:rsidP="00CF63A2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III – medidas de prevenção e controle em áreas de maior vulnerabilidade.</w:t>
      </w:r>
    </w:p>
    <w:p w14:paraId="246EF7A6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</w:p>
    <w:p w14:paraId="501F7465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Art. 32-D. Fica vedada a introdução, soltura, povoamento, repovoamento, disseminação ou translocação de espécies exóticas, de espécies alóctones e de organismos geneticamente modificados em ambientes aquáticos abertos, tais como rios, igarapés, lagos, lagoas, estuários, reservatórios e demais corpos hídricos públicos, salvo nas hipóteses expressamente autorizadas pela legislação ambiental e de recursos hídricos vigente e mediante autorização do órgão competente.</w:t>
      </w:r>
    </w:p>
    <w:p w14:paraId="61C11F68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§ 1º Para os fins deste artigo, considera-se ambiente aquático aberto todo corpo hídrico natural ou artificial conectado a drenagens, canais, cursos d’água ou bacias hidrográficas.</w:t>
      </w:r>
    </w:p>
    <w:p w14:paraId="48DEB505" w14:textId="77777777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§ 2º O descumprimento do disposto neste artigo sujeita o infrator às penalidades previstas nesta Lei e na legislação ambiental vigente, sem prejuízo da obrigação de reparação integral do dano e das medidas de recuperação ambiental.”</w:t>
      </w:r>
    </w:p>
    <w:p w14:paraId="22D34B4C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1EFC6B38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b/>
          <w:bCs/>
          <w:sz w:val="24"/>
        </w:rPr>
        <w:lastRenderedPageBreak/>
        <w:t>Art. 3º</w:t>
      </w:r>
      <w:r w:rsidRPr="0085261F">
        <w:rPr>
          <w:rFonts w:ascii="Times New Roman" w:eastAsia="MS Mincho" w:hAnsi="Times New Roman" w:cs="Times New Roman"/>
          <w:sz w:val="24"/>
        </w:rPr>
        <w:t xml:space="preserve"> O art. 3º da Lei nº 8.089, de 25 de fevereiro de 2004, passa a vigorar acrescido do seguinte inciso, renumerando-se os demais, se necessário:</w:t>
      </w:r>
    </w:p>
    <w:p w14:paraId="54A9F731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177D0751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“Art. 3º (...)</w:t>
      </w:r>
    </w:p>
    <w:p w14:paraId="328E7336" w14:textId="77777777" w:rsidR="0085261F" w:rsidRPr="0085261F" w:rsidRDefault="0085261F" w:rsidP="0085261F">
      <w:pPr>
        <w:ind w:left="2268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(...)</w:t>
      </w:r>
    </w:p>
    <w:p w14:paraId="1DE6AEB8" w14:textId="08F33A7C" w:rsidR="0085261F" w:rsidRPr="0085261F" w:rsidRDefault="0085261F" w:rsidP="0085261F">
      <w:pPr>
        <w:ind w:left="2268"/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VI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fortalecer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a </w:t>
      </w:r>
      <w:r w:rsidR="005D4E50">
        <w:rPr>
          <w:rFonts w:ascii="Times New Roman" w:eastAsia="MS Mincho" w:hAnsi="Times New Roman" w:cs="Times New Roman"/>
          <w:sz w:val="24"/>
        </w:rPr>
        <w:t>b</w:t>
      </w:r>
      <w:r w:rsidRPr="0085261F">
        <w:rPr>
          <w:rFonts w:ascii="Times New Roman" w:eastAsia="MS Mincho" w:hAnsi="Times New Roman" w:cs="Times New Roman"/>
          <w:sz w:val="24"/>
        </w:rPr>
        <w:t>iossegurança aquícola e a prevenção de introdução, escape, soltura e dispersão de espécies exóticas invasoras aquáticas e espécies alóctones, com medidas proporcionais ao risco, em harmonia com a preservação ambiental e a proteção da pesca artesanal.”</w:t>
      </w:r>
    </w:p>
    <w:p w14:paraId="35C982FD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0EB2FBF4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b/>
          <w:bCs/>
          <w:sz w:val="24"/>
        </w:rPr>
        <w:t>Art. 4º</w:t>
      </w:r>
      <w:r w:rsidRPr="0085261F">
        <w:rPr>
          <w:rFonts w:ascii="Times New Roman" w:eastAsia="MS Mincho" w:hAnsi="Times New Roman" w:cs="Times New Roman"/>
          <w:sz w:val="24"/>
        </w:rPr>
        <w:t xml:space="preserve"> O Poder Executivo regulamentará esta Lei no que couber, especialmente quanto:</w:t>
      </w:r>
    </w:p>
    <w:p w14:paraId="03788388" w14:textId="77777777" w:rsidR="0085261F" w:rsidRPr="0085261F" w:rsidRDefault="0085261F" w:rsidP="0085261F">
      <w:pPr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aos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parâmetros mínimos e proporcionais das medidas de biossegurança (§§ 5º a 7º do art. 32);</w:t>
      </w:r>
    </w:p>
    <w:p w14:paraId="415A9B40" w14:textId="77777777" w:rsidR="0085261F" w:rsidRPr="0085261F" w:rsidRDefault="0085261F" w:rsidP="0085261F">
      <w:pPr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II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aos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critérios de classificação por risco e por unidade hidrográfica (art. 32-A);</w:t>
      </w:r>
    </w:p>
    <w:p w14:paraId="4C02AB7C" w14:textId="77777777" w:rsidR="0085261F" w:rsidRPr="0085261F" w:rsidRDefault="0085261F" w:rsidP="0085261F">
      <w:pPr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>III – às diretrizes de pesca de controle e prevenção de dispersão (art. 32-B);</w:t>
      </w:r>
    </w:p>
    <w:p w14:paraId="1D798798" w14:textId="77777777" w:rsidR="0085261F" w:rsidRPr="0085261F" w:rsidRDefault="0085261F" w:rsidP="0085261F">
      <w:pPr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IV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ao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funcionamento do sistema de detecção precoce e resposta rápida (art. 32-C);</w:t>
      </w:r>
    </w:p>
    <w:p w14:paraId="5A539A00" w14:textId="77777777" w:rsidR="0085261F" w:rsidRPr="0085261F" w:rsidRDefault="0085261F" w:rsidP="0085261F">
      <w:pPr>
        <w:jc w:val="both"/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sz w:val="24"/>
        </w:rPr>
        <w:t xml:space="preserve">V – </w:t>
      </w:r>
      <w:proofErr w:type="gramStart"/>
      <w:r w:rsidRPr="0085261F">
        <w:rPr>
          <w:rFonts w:ascii="Times New Roman" w:eastAsia="MS Mincho" w:hAnsi="Times New Roman" w:cs="Times New Roman"/>
          <w:sz w:val="24"/>
        </w:rPr>
        <w:t>à</w:t>
      </w:r>
      <w:proofErr w:type="gramEnd"/>
      <w:r w:rsidRPr="0085261F">
        <w:rPr>
          <w:rFonts w:ascii="Times New Roman" w:eastAsia="MS Mincho" w:hAnsi="Times New Roman" w:cs="Times New Roman"/>
          <w:sz w:val="24"/>
        </w:rPr>
        <w:t xml:space="preserve"> aplicação do art. 32-D, no que couber, observada a legislação federal e estadual aplicável.</w:t>
      </w:r>
    </w:p>
    <w:p w14:paraId="5447CC4A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</w:p>
    <w:p w14:paraId="61750800" w14:textId="77777777" w:rsidR="0085261F" w:rsidRPr="0085261F" w:rsidRDefault="0085261F" w:rsidP="0085261F">
      <w:pPr>
        <w:rPr>
          <w:rFonts w:ascii="Times New Roman" w:eastAsia="MS Mincho" w:hAnsi="Times New Roman" w:cs="Times New Roman"/>
          <w:sz w:val="24"/>
        </w:rPr>
      </w:pPr>
      <w:r w:rsidRPr="0085261F">
        <w:rPr>
          <w:rFonts w:ascii="Times New Roman" w:eastAsia="MS Mincho" w:hAnsi="Times New Roman" w:cs="Times New Roman"/>
          <w:b/>
          <w:bCs/>
          <w:sz w:val="24"/>
        </w:rPr>
        <w:t>Art. 5º</w:t>
      </w:r>
      <w:r w:rsidRPr="0085261F">
        <w:rPr>
          <w:rFonts w:ascii="Times New Roman" w:eastAsia="MS Mincho" w:hAnsi="Times New Roman" w:cs="Times New Roman"/>
          <w:sz w:val="24"/>
        </w:rPr>
        <w:t xml:space="preserve"> Esta Lei entra em vigor na data de sua publicação.</w:t>
      </w:r>
    </w:p>
    <w:p w14:paraId="55A727BD" w14:textId="77777777" w:rsidR="002E43FF" w:rsidRPr="0085261F" w:rsidRDefault="002E43FF" w:rsidP="002E43F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AC5422" w14:textId="415D281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A424D0">
        <w:rPr>
          <w:rFonts w:ascii="Times New Roman" w:hAnsi="Times New Roman" w:cs="Times New Roman"/>
          <w:b/>
          <w:sz w:val="24"/>
          <w:szCs w:val="24"/>
        </w:rPr>
        <w:t>iva do Estado do Maranhão, em 13</w:t>
      </w:r>
      <w:r w:rsidRPr="008A1F96">
        <w:rPr>
          <w:rFonts w:ascii="Times New Roman" w:hAnsi="Times New Roman" w:cs="Times New Roman"/>
          <w:b/>
          <w:sz w:val="24"/>
          <w:szCs w:val="24"/>
        </w:rPr>
        <w:t xml:space="preserve"> de maio de 2026.</w:t>
      </w:r>
    </w:p>
    <w:p w14:paraId="562440FE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DE234B" w14:textId="77777777" w:rsidR="002E43FF" w:rsidRPr="008A1F96" w:rsidRDefault="002E43FF" w:rsidP="002E43FF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A1F96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FFCD7FA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F66299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3133B7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5E99CCCB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sz w:val="24"/>
          <w:szCs w:val="24"/>
        </w:rPr>
      </w:pPr>
      <w:r w:rsidRPr="008A1F96">
        <w:rPr>
          <w:rFonts w:ascii="Times New Roman" w:hAnsi="Times New Roman" w:cs="Times New Roman"/>
          <w:sz w:val="24"/>
          <w:szCs w:val="24"/>
        </w:rPr>
        <w:t>Deputado Estadual</w:t>
      </w:r>
    </w:p>
    <w:p w14:paraId="1F03CF99" w14:textId="77777777" w:rsidR="00CF63A2" w:rsidRDefault="00CF63A2" w:rsidP="002E43FF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60575FD6" w14:textId="77777777" w:rsidR="00CF63A2" w:rsidRDefault="00CF63A2" w:rsidP="002E43FF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304BEB2D" w14:textId="77777777" w:rsidR="00CF63A2" w:rsidRDefault="00CF63A2" w:rsidP="002E43FF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74783960" w14:textId="13048AC2" w:rsidR="002E43FF" w:rsidRDefault="002E43FF" w:rsidP="002E43FF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A1F9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JUSTIFICATIVA</w:t>
      </w:r>
    </w:p>
    <w:p w14:paraId="1A8211DC" w14:textId="77777777" w:rsidR="00A424D0" w:rsidRPr="00A424D0" w:rsidRDefault="00A424D0" w:rsidP="00A424D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C66AE83" w14:textId="6B562995" w:rsidR="00C04423" w:rsidRP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>O presente Projeto de Lei altera e acrescenta dispositivos à Lei Estadual nº 8.089/2004, que dispõe sobre a Política Estadual de Desenvolvimento da Pesca e da Aquicultura, com o objetivo de aumentar a eficácia prática do marco normativo, reforçando a biossegurança aquícola, prevenindo escapes e estabelecendo vedação objetiva à introdução/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4423">
        <w:rPr>
          <w:rFonts w:ascii="Times New Roman" w:hAnsi="Times New Roman"/>
          <w:sz w:val="24"/>
          <w:szCs w:val="24"/>
        </w:rPr>
        <w:t>soltura/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4423">
        <w:rPr>
          <w:rFonts w:ascii="Times New Roman" w:hAnsi="Times New Roman"/>
          <w:sz w:val="24"/>
          <w:szCs w:val="24"/>
        </w:rPr>
        <w:t>translocação irregular de espécies em ambientes aquáticos abertos, além de criar base legal clara para manejo e controle de espécies invasoras já estabelecidas.</w:t>
      </w:r>
    </w:p>
    <w:p w14:paraId="2076E1D9" w14:textId="77777777" w:rsid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A418465" w14:textId="7DBEEC29" w:rsidR="00C04423" w:rsidRP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>A Lei nº 8.089/2004 já contém comando relevante ao dispor que, “na criação de espécies exóticas, cabe ao aquicultor assegurar a contenção da espécie no âmbito do cativeiro, impedindo seu acesso às águas da bacia hidrográfica”. Contudo, a experiência evidencia baixa efetividade desse comando por uma lacuna operacional: a norma determina o dever, mas não explicita padrões mínimos nem orienta, de forma objetiva, quais medidas de biossegurança devem ser exigidas no licenciamento e na fiscalização para impedir a fuga inclusive de ovos, larvas e alevinos — circunstância especialmente crítica em regiões sujeitas a cheias e transbordamentos.</w:t>
      </w:r>
    </w:p>
    <w:p w14:paraId="2A58DCD8" w14:textId="77777777" w:rsid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81085C" w14:textId="63861823" w:rsidR="00C04423" w:rsidRP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>No Maranhão, ecossistemas aquáticos e atividades pesqueiras sustentam renda e segurança alimentar de comunidades inteiras. Em localidades como Lago Açu, marcada pela pesca, a presença em vida livre de espécies exóticas com alta capacidade reprodutiva e resistência ambiental — como a tilápia — agrava pressões sobre espécies nativas e sobre a pesca artesanal, com efeitos socioeconômicos relevantes. Além disso, a expansão de empreendimentos aquícolas e a circulação de espécies de alto potencial de dispersão impõem a necessidade de prevenção baseada em risco, para evitar que escapes e translocações ampliem o problema para novas bacias.</w:t>
      </w:r>
    </w:p>
    <w:p w14:paraId="2C96F870" w14:textId="77777777" w:rsid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72A79F4" w14:textId="2E1D140D" w:rsidR="00C04423" w:rsidRP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>Diante disso, a proposição fortalece a eficácia da Lei 8.089/2004 em quatro eixos:</w:t>
      </w:r>
    </w:p>
    <w:p w14:paraId="5EFF9202" w14:textId="77777777" w:rsidR="00141846" w:rsidRPr="00141846" w:rsidRDefault="00C04423" w:rsidP="00141846">
      <w:pPr>
        <w:numPr>
          <w:ilvl w:val="0"/>
          <w:numId w:val="34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141846">
        <w:rPr>
          <w:rFonts w:ascii="Times New Roman" w:hAnsi="Times New Roman"/>
          <w:b/>
          <w:bCs/>
          <w:sz w:val="24"/>
          <w:szCs w:val="24"/>
        </w:rPr>
        <w:t>Biossegurança aquícola com padrão mínimo verificável</w:t>
      </w:r>
    </w:p>
    <w:p w14:paraId="139558E4" w14:textId="0D91367D" w:rsidR="00C04423" w:rsidRDefault="00C0442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141846">
        <w:rPr>
          <w:rFonts w:ascii="Times New Roman" w:hAnsi="Times New Roman"/>
          <w:sz w:val="24"/>
          <w:szCs w:val="24"/>
        </w:rPr>
        <w:t xml:space="preserve">O Projeto mantém o dever de contenção já previsto e acrescenta parágrafos para torná-lo operacional, estabelecendo que a contenção compreende, no mínimo, medidas </w:t>
      </w:r>
      <w:r w:rsidRPr="00141846">
        <w:rPr>
          <w:rFonts w:ascii="Times New Roman" w:hAnsi="Times New Roman"/>
          <w:sz w:val="24"/>
          <w:szCs w:val="24"/>
        </w:rPr>
        <w:lastRenderedPageBreak/>
        <w:t xml:space="preserve">de biossegurança “economicamente e tecnologicamente viáveis” e explicitando exemplos típicos e auditáveis (telas, malhas, filtros, grades, caixas de retenção/decantação, dispositivos de transbordamento seguro e controle de entrada/saída de água). Isso reduz subjetividade, melhora a fiscalização e harmoniza exigências no licenciamento. </w:t>
      </w:r>
    </w:p>
    <w:p w14:paraId="414AB18D" w14:textId="77777777" w:rsidR="00216763" w:rsidRPr="00141846" w:rsidRDefault="0021676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</w:p>
    <w:p w14:paraId="0405508B" w14:textId="77777777" w:rsidR="00141846" w:rsidRPr="00141846" w:rsidRDefault="00C04423" w:rsidP="00C04423">
      <w:pPr>
        <w:numPr>
          <w:ilvl w:val="0"/>
          <w:numId w:val="34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141846">
        <w:rPr>
          <w:rFonts w:ascii="Times New Roman" w:hAnsi="Times New Roman"/>
          <w:b/>
          <w:bCs/>
          <w:sz w:val="24"/>
          <w:szCs w:val="24"/>
        </w:rPr>
        <w:t>Integração com licenciamento e condicionantes proporcionais ao risco</w:t>
      </w:r>
    </w:p>
    <w:p w14:paraId="637FCEBC" w14:textId="5AEF86D0" w:rsidR="00C04423" w:rsidRDefault="00C0442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 xml:space="preserve">O texto reforça que o licenciamento poderá exigir condicionantes proporcionais ao porte e risco, inclusive plano de contingência para eventos de cheia/transbordamento e rotinas operacionais de prevenção de escape, conectando norma e realidade sem burocratização indevida. </w:t>
      </w:r>
    </w:p>
    <w:p w14:paraId="580DBBE4" w14:textId="77777777" w:rsidR="00216763" w:rsidRPr="00C04423" w:rsidRDefault="0021676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</w:p>
    <w:p w14:paraId="39EFFB6B" w14:textId="77777777" w:rsidR="00141846" w:rsidRPr="00141846" w:rsidRDefault="00C04423" w:rsidP="00C04423">
      <w:pPr>
        <w:numPr>
          <w:ilvl w:val="0"/>
          <w:numId w:val="34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141846">
        <w:rPr>
          <w:rFonts w:ascii="Times New Roman" w:hAnsi="Times New Roman"/>
          <w:b/>
          <w:bCs/>
          <w:sz w:val="24"/>
          <w:szCs w:val="24"/>
        </w:rPr>
        <w:t>Vedação objetiva à introdução/soltura/translocação irregular em ambiente aberto</w:t>
      </w:r>
    </w:p>
    <w:p w14:paraId="01412F62" w14:textId="77777777" w:rsidR="00216763" w:rsidRDefault="00C0442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>Para eliminar ambiguidades e elevar o grau de prevenção, o Projeto acrescenta dispositivo expresso vedando introdução, soltura, povoamento, repovoamento, disseminação ou translocação de espécies exóticas, alóctones e organismos geneticamente modificados em ambientes aquáticos abertos, ressalvadas hipóteses legalmente autorizadas e mediante autorização do órgão competente. O dispositivo é propositalmente objetivo e evita “brechas” interpretativas.</w:t>
      </w:r>
    </w:p>
    <w:p w14:paraId="392AED12" w14:textId="3CC38284" w:rsidR="00C04423" w:rsidRDefault="00C0442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 xml:space="preserve">Importante destacar que o projeto não cria sanções novas: remete às penalidades já previstas na Lei 8.089/2004 e na legislação ambiental vigente, e reforça o dever de reparação integral e recuperação ambiental em caso de dano. </w:t>
      </w:r>
    </w:p>
    <w:p w14:paraId="78D3214B" w14:textId="77777777" w:rsidR="00216763" w:rsidRPr="00C04423" w:rsidRDefault="0021676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</w:p>
    <w:p w14:paraId="418AA8F3" w14:textId="77777777" w:rsidR="00141846" w:rsidRPr="00141846" w:rsidRDefault="00C04423" w:rsidP="00C04423">
      <w:pPr>
        <w:numPr>
          <w:ilvl w:val="0"/>
          <w:numId w:val="34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141846">
        <w:rPr>
          <w:rFonts w:ascii="Times New Roman" w:hAnsi="Times New Roman"/>
          <w:b/>
          <w:bCs/>
          <w:sz w:val="24"/>
          <w:szCs w:val="24"/>
        </w:rPr>
        <w:t>Manejo, pesca de controle e resposta rápida</w:t>
      </w:r>
    </w:p>
    <w:p w14:paraId="3ED59F29" w14:textId="7F804C30" w:rsidR="00C04423" w:rsidRDefault="00C04423" w:rsidP="00216763">
      <w:pPr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 xml:space="preserve">O Projeto cria base legal expressa para ações de manejo e controle de espécies invasoras em vida livre, inclusive pesca de controle, com salvaguardas para impedir incentivos perversos (vedação de repovoamento, soltura e translocação para manter invasores). Além disso, prevê diretrizes de detecção precoce e resposta rápida, em cooperação com União e Municípios, visando impedir dispersão para novas áreas e reduzir custos futuros. </w:t>
      </w:r>
    </w:p>
    <w:p w14:paraId="21F40C98" w14:textId="77777777" w:rsidR="00141846" w:rsidRPr="00C04423" w:rsidRDefault="00141846" w:rsidP="00141846">
      <w:pPr>
        <w:ind w:left="720"/>
        <w:jc w:val="both"/>
        <w:rPr>
          <w:rFonts w:ascii="Times New Roman" w:hAnsi="Times New Roman"/>
          <w:sz w:val="24"/>
          <w:szCs w:val="24"/>
        </w:rPr>
      </w:pPr>
    </w:p>
    <w:p w14:paraId="2447B6A5" w14:textId="77777777" w:rsidR="00C04423" w:rsidRPr="00C04423" w:rsidRDefault="00C04423" w:rsidP="00C0442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4423">
        <w:rPr>
          <w:rFonts w:ascii="Times New Roman" w:hAnsi="Times New Roman"/>
          <w:sz w:val="24"/>
          <w:szCs w:val="24"/>
        </w:rPr>
        <w:t>Em síntese, a proposição aumenta a efetividade da Lei nº 8.089/2004 ao transformar comandos genéricos em regras operacionais, fortalecendo biossegurança e prevenção, protegendo biodiversidade e pesca artesanal, e garantindo coerência com o regime sancionatório já existente, sem inflar o ordenamento com novas multas. Por essas razões, solicita-se o apoio dos nobres Pares para aprovação do presente Projeto de Lei.</w:t>
      </w:r>
    </w:p>
    <w:p w14:paraId="253B6E5D" w14:textId="77777777" w:rsidR="000C31C9" w:rsidRPr="008A1F96" w:rsidRDefault="000C31C9" w:rsidP="000C31C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A6CEAD" w14:textId="6BAD4811" w:rsidR="00012C84" w:rsidRPr="008A1F96" w:rsidRDefault="00012C84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 w:rsidR="00A424D0">
        <w:rPr>
          <w:rFonts w:ascii="Times New Roman" w:hAnsi="Times New Roman" w:cs="Times New Roman"/>
          <w:b/>
          <w:sz w:val="24"/>
          <w:szCs w:val="24"/>
        </w:rPr>
        <w:t>13</w:t>
      </w:r>
      <w:r w:rsidRPr="008A1F96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2E43FF" w:rsidRPr="008A1F96">
        <w:rPr>
          <w:rFonts w:ascii="Times New Roman" w:hAnsi="Times New Roman" w:cs="Times New Roman"/>
          <w:b/>
          <w:sz w:val="24"/>
          <w:szCs w:val="24"/>
        </w:rPr>
        <w:t>maio</w:t>
      </w:r>
      <w:r w:rsidRPr="008A1F96">
        <w:rPr>
          <w:rFonts w:ascii="Times New Roman" w:hAnsi="Times New Roman" w:cs="Times New Roman"/>
          <w:b/>
          <w:sz w:val="24"/>
          <w:szCs w:val="24"/>
        </w:rPr>
        <w:t xml:space="preserve"> de 2026.</w:t>
      </w:r>
    </w:p>
    <w:p w14:paraId="2B539951" w14:textId="77777777" w:rsidR="00012C84" w:rsidRPr="008A1F96" w:rsidRDefault="00012C84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2D836E" w14:textId="77777777" w:rsidR="00012C84" w:rsidRPr="008A1F96" w:rsidRDefault="00012C84" w:rsidP="002E43FF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A1F96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51DEB1EA" w14:textId="77777777" w:rsidR="00012C84" w:rsidRPr="008A1F96" w:rsidRDefault="00012C84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5C2EC7" w14:textId="77777777" w:rsidR="00012C84" w:rsidRPr="008A1F96" w:rsidRDefault="00012C84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567B8127" w14:textId="77777777" w:rsidR="00012C84" w:rsidRPr="008A1F96" w:rsidRDefault="00012C84" w:rsidP="002E43FF">
      <w:pPr>
        <w:jc w:val="center"/>
        <w:rPr>
          <w:rFonts w:ascii="Times New Roman" w:hAnsi="Times New Roman" w:cs="Times New Roman"/>
          <w:sz w:val="24"/>
          <w:szCs w:val="24"/>
        </w:rPr>
      </w:pPr>
      <w:r w:rsidRPr="008A1F96">
        <w:rPr>
          <w:rFonts w:ascii="Times New Roman" w:hAnsi="Times New Roman" w:cs="Times New Roman"/>
          <w:sz w:val="24"/>
          <w:szCs w:val="24"/>
        </w:rPr>
        <w:t>Deputado Estadual</w:t>
      </w:r>
    </w:p>
    <w:p w14:paraId="0A464A8E" w14:textId="77777777" w:rsidR="00012C84" w:rsidRPr="002E43FF" w:rsidRDefault="00012C84" w:rsidP="002E43F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012C84" w:rsidRPr="002E43FF" w:rsidSect="00D93FA2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3DFF7" w14:textId="77777777" w:rsidR="00974FA5" w:rsidRPr="008A1F96" w:rsidRDefault="00974FA5" w:rsidP="00D3740A">
      <w:pPr>
        <w:spacing w:line="240" w:lineRule="auto"/>
      </w:pPr>
      <w:r w:rsidRPr="008A1F96">
        <w:separator/>
      </w:r>
    </w:p>
  </w:endnote>
  <w:endnote w:type="continuationSeparator" w:id="0">
    <w:p w14:paraId="2DB89A6A" w14:textId="77777777" w:rsidR="00974FA5" w:rsidRPr="008A1F96" w:rsidRDefault="00974FA5" w:rsidP="00D3740A">
      <w:pPr>
        <w:spacing w:line="240" w:lineRule="auto"/>
      </w:pPr>
      <w:r w:rsidRPr="008A1F9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166C9" w14:textId="77777777" w:rsidR="00974FA5" w:rsidRPr="008A1F96" w:rsidRDefault="00974FA5" w:rsidP="00D3740A">
      <w:pPr>
        <w:spacing w:line="240" w:lineRule="auto"/>
      </w:pPr>
      <w:r w:rsidRPr="008A1F96">
        <w:separator/>
      </w:r>
    </w:p>
  </w:footnote>
  <w:footnote w:type="continuationSeparator" w:id="0">
    <w:p w14:paraId="77778ABB" w14:textId="77777777" w:rsidR="00974FA5" w:rsidRPr="008A1F96" w:rsidRDefault="00974FA5" w:rsidP="00D3740A">
      <w:pPr>
        <w:spacing w:line="240" w:lineRule="auto"/>
      </w:pPr>
      <w:r w:rsidRPr="008A1F9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77777777" w:rsidR="00B45D3C" w:rsidRPr="008A1F96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8A1F96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A1F96">
      <w:rPr>
        <w:rFonts w:ascii="Times New Roman" w:hAnsi="Times New Roman"/>
        <w:b/>
      </w:rPr>
      <w:t>ASSEMBLEIA LEGISLATIVA DO ESTADO DO MARANHÃO</w:t>
    </w:r>
  </w:p>
  <w:p w14:paraId="42494296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A1F96">
      <w:rPr>
        <w:rFonts w:ascii="Times New Roman" w:hAnsi="Times New Roman"/>
        <w:b/>
      </w:rPr>
      <w:t>Gabinete do Deputado Júlio Mendonça</w:t>
    </w:r>
  </w:p>
  <w:p w14:paraId="0F8C4318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A1F96">
      <w:rPr>
        <w:rFonts w:ascii="Times New Roman" w:hAnsi="Times New Roman"/>
      </w:rPr>
      <w:t xml:space="preserve">Avenida Jerônimo de Albuquerque, s/n, Sítio do Rangedor – </w:t>
    </w:r>
    <w:proofErr w:type="spellStart"/>
    <w:r w:rsidRPr="008A1F96">
      <w:rPr>
        <w:rFonts w:ascii="Times New Roman" w:hAnsi="Times New Roman"/>
      </w:rPr>
      <w:t>Cohafuma</w:t>
    </w:r>
    <w:proofErr w:type="spellEnd"/>
  </w:p>
  <w:p w14:paraId="12F6B7F4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A1F96">
      <w:rPr>
        <w:rFonts w:ascii="Times New Roman" w:hAnsi="Times New Roman"/>
      </w:rPr>
      <w:t>São Luís - MA – 65.071-750 - Tel. (98) 3269-3282 – deputadojuliomendonca@gmail.com</w:t>
    </w:r>
  </w:p>
  <w:p w14:paraId="1DFBC304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5C53E8"/>
    <w:multiLevelType w:val="hybridMultilevel"/>
    <w:tmpl w:val="7C5AFBA6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098A"/>
    <w:multiLevelType w:val="multilevel"/>
    <w:tmpl w:val="64DA8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1D703F0"/>
    <w:multiLevelType w:val="hybridMultilevel"/>
    <w:tmpl w:val="5A9A1CB8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0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C7AD0"/>
    <w:multiLevelType w:val="hybridMultilevel"/>
    <w:tmpl w:val="F796E72C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EBF5318"/>
    <w:multiLevelType w:val="hybridMultilevel"/>
    <w:tmpl w:val="A19459F4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3CB0D15"/>
    <w:multiLevelType w:val="hybridMultilevel"/>
    <w:tmpl w:val="C90A34D6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6B0B35"/>
    <w:multiLevelType w:val="hybridMultilevel"/>
    <w:tmpl w:val="7D8A7D9A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9796">
    <w:abstractNumId w:val="0"/>
  </w:num>
  <w:num w:numId="2" w16cid:durableId="429282466">
    <w:abstractNumId w:val="19"/>
  </w:num>
  <w:num w:numId="3" w16cid:durableId="1381513153">
    <w:abstractNumId w:val="10"/>
  </w:num>
  <w:num w:numId="4" w16cid:durableId="1204175538">
    <w:abstractNumId w:val="21"/>
  </w:num>
  <w:num w:numId="5" w16cid:durableId="1734500844">
    <w:abstractNumId w:val="20"/>
  </w:num>
  <w:num w:numId="6" w16cid:durableId="1509296640">
    <w:abstractNumId w:val="22"/>
  </w:num>
  <w:num w:numId="7" w16cid:durableId="642272993">
    <w:abstractNumId w:val="16"/>
  </w:num>
  <w:num w:numId="8" w16cid:durableId="209611666">
    <w:abstractNumId w:val="8"/>
  </w:num>
  <w:num w:numId="9" w16cid:durableId="223760665">
    <w:abstractNumId w:val="17"/>
  </w:num>
  <w:num w:numId="10" w16cid:durableId="1652057486">
    <w:abstractNumId w:val="29"/>
  </w:num>
  <w:num w:numId="11" w16cid:durableId="584846299">
    <w:abstractNumId w:val="23"/>
  </w:num>
  <w:num w:numId="12" w16cid:durableId="1640961653">
    <w:abstractNumId w:val="15"/>
  </w:num>
  <w:num w:numId="13" w16cid:durableId="624850450">
    <w:abstractNumId w:val="13"/>
  </w:num>
  <w:num w:numId="14" w16cid:durableId="339548637">
    <w:abstractNumId w:val="27"/>
  </w:num>
  <w:num w:numId="15" w16cid:durableId="1708290687">
    <w:abstractNumId w:val="14"/>
  </w:num>
  <w:num w:numId="16" w16cid:durableId="1729186674">
    <w:abstractNumId w:val="3"/>
  </w:num>
  <w:num w:numId="17" w16cid:durableId="1766726893">
    <w:abstractNumId w:val="4"/>
  </w:num>
  <w:num w:numId="18" w16cid:durableId="348918320">
    <w:abstractNumId w:val="31"/>
  </w:num>
  <w:num w:numId="19" w16cid:durableId="434791120">
    <w:abstractNumId w:val="1"/>
  </w:num>
  <w:num w:numId="20" w16cid:durableId="711879397">
    <w:abstractNumId w:val="24"/>
  </w:num>
  <w:num w:numId="21" w16cid:durableId="640501000">
    <w:abstractNumId w:val="5"/>
  </w:num>
  <w:num w:numId="22" w16cid:durableId="436021846">
    <w:abstractNumId w:val="9"/>
  </w:num>
  <w:num w:numId="23" w16cid:durableId="895625105">
    <w:abstractNumId w:val="11"/>
  </w:num>
  <w:num w:numId="24" w16cid:durableId="1395354580">
    <w:abstractNumId w:val="25"/>
  </w:num>
  <w:num w:numId="25" w16cid:durableId="984822856">
    <w:abstractNumId w:val="33"/>
  </w:num>
  <w:num w:numId="26" w16cid:durableId="1942370187">
    <w:abstractNumId w:val="12"/>
  </w:num>
  <w:num w:numId="27" w16cid:durableId="148638681">
    <w:abstractNumId w:val="7"/>
  </w:num>
  <w:num w:numId="28" w16cid:durableId="1932663328">
    <w:abstractNumId w:val="32"/>
  </w:num>
  <w:num w:numId="29" w16cid:durableId="576213767">
    <w:abstractNumId w:val="26"/>
  </w:num>
  <w:num w:numId="30" w16cid:durableId="1906654">
    <w:abstractNumId w:val="18"/>
  </w:num>
  <w:num w:numId="31" w16cid:durableId="779419957">
    <w:abstractNumId w:val="28"/>
  </w:num>
  <w:num w:numId="32" w16cid:durableId="1483543618">
    <w:abstractNumId w:val="30"/>
  </w:num>
  <w:num w:numId="33" w16cid:durableId="329717075">
    <w:abstractNumId w:val="2"/>
  </w:num>
  <w:num w:numId="34" w16cid:durableId="3781685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579"/>
    <w:rsid w:val="00012C84"/>
    <w:rsid w:val="00012E71"/>
    <w:rsid w:val="000150CE"/>
    <w:rsid w:val="0001517E"/>
    <w:rsid w:val="00030DF1"/>
    <w:rsid w:val="00031E7A"/>
    <w:rsid w:val="00032965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029F"/>
    <w:rsid w:val="00094B34"/>
    <w:rsid w:val="00096FF8"/>
    <w:rsid w:val="0009761F"/>
    <w:rsid w:val="000A57E0"/>
    <w:rsid w:val="000B49CE"/>
    <w:rsid w:val="000B4D4C"/>
    <w:rsid w:val="000B7574"/>
    <w:rsid w:val="000C158C"/>
    <w:rsid w:val="000C1843"/>
    <w:rsid w:val="000C31C9"/>
    <w:rsid w:val="000D5D66"/>
    <w:rsid w:val="000E1434"/>
    <w:rsid w:val="000F2125"/>
    <w:rsid w:val="00102809"/>
    <w:rsid w:val="00106A4D"/>
    <w:rsid w:val="00110FA9"/>
    <w:rsid w:val="00114ED5"/>
    <w:rsid w:val="001171BF"/>
    <w:rsid w:val="00120110"/>
    <w:rsid w:val="00120214"/>
    <w:rsid w:val="00123703"/>
    <w:rsid w:val="0012629E"/>
    <w:rsid w:val="00127F23"/>
    <w:rsid w:val="00133BA1"/>
    <w:rsid w:val="00134F1B"/>
    <w:rsid w:val="0014176C"/>
    <w:rsid w:val="00141846"/>
    <w:rsid w:val="00143527"/>
    <w:rsid w:val="00144052"/>
    <w:rsid w:val="00144EFA"/>
    <w:rsid w:val="00150D1C"/>
    <w:rsid w:val="00151319"/>
    <w:rsid w:val="001602D3"/>
    <w:rsid w:val="00161A7D"/>
    <w:rsid w:val="001646B4"/>
    <w:rsid w:val="00170BFB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B5312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763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2317"/>
    <w:rsid w:val="00253150"/>
    <w:rsid w:val="002541BD"/>
    <w:rsid w:val="00255573"/>
    <w:rsid w:val="00255B11"/>
    <w:rsid w:val="00255EAB"/>
    <w:rsid w:val="00264CDF"/>
    <w:rsid w:val="00265CA5"/>
    <w:rsid w:val="00267885"/>
    <w:rsid w:val="00271E2A"/>
    <w:rsid w:val="00273723"/>
    <w:rsid w:val="002742DD"/>
    <w:rsid w:val="00284ABE"/>
    <w:rsid w:val="00286182"/>
    <w:rsid w:val="002867F6"/>
    <w:rsid w:val="0029100B"/>
    <w:rsid w:val="00293F70"/>
    <w:rsid w:val="00294DBF"/>
    <w:rsid w:val="00295544"/>
    <w:rsid w:val="002A02E1"/>
    <w:rsid w:val="002A056C"/>
    <w:rsid w:val="002A19CF"/>
    <w:rsid w:val="002A2D7A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C54C7"/>
    <w:rsid w:val="002D5255"/>
    <w:rsid w:val="002E43FF"/>
    <w:rsid w:val="002E6CCC"/>
    <w:rsid w:val="002E7F37"/>
    <w:rsid w:val="002F22F6"/>
    <w:rsid w:val="002F304A"/>
    <w:rsid w:val="002F3E77"/>
    <w:rsid w:val="002F7F04"/>
    <w:rsid w:val="003022FE"/>
    <w:rsid w:val="003027B9"/>
    <w:rsid w:val="00303CCD"/>
    <w:rsid w:val="00305FDA"/>
    <w:rsid w:val="00310F1A"/>
    <w:rsid w:val="0031168F"/>
    <w:rsid w:val="00320073"/>
    <w:rsid w:val="00322815"/>
    <w:rsid w:val="00324699"/>
    <w:rsid w:val="00325317"/>
    <w:rsid w:val="003259F3"/>
    <w:rsid w:val="00326501"/>
    <w:rsid w:val="00331458"/>
    <w:rsid w:val="0033660A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19AE"/>
    <w:rsid w:val="0037652F"/>
    <w:rsid w:val="003767CD"/>
    <w:rsid w:val="00377E4F"/>
    <w:rsid w:val="00382F43"/>
    <w:rsid w:val="00384829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B71F1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295"/>
    <w:rsid w:val="00410A65"/>
    <w:rsid w:val="004153AA"/>
    <w:rsid w:val="0041726C"/>
    <w:rsid w:val="0042007E"/>
    <w:rsid w:val="0042076D"/>
    <w:rsid w:val="00421FDB"/>
    <w:rsid w:val="00422F78"/>
    <w:rsid w:val="0042536A"/>
    <w:rsid w:val="00430206"/>
    <w:rsid w:val="0043155F"/>
    <w:rsid w:val="004334D8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53094"/>
    <w:rsid w:val="004667CD"/>
    <w:rsid w:val="00467F0A"/>
    <w:rsid w:val="00471ACE"/>
    <w:rsid w:val="00471CBD"/>
    <w:rsid w:val="004735C7"/>
    <w:rsid w:val="004757D8"/>
    <w:rsid w:val="004809CC"/>
    <w:rsid w:val="00485B7F"/>
    <w:rsid w:val="004871D7"/>
    <w:rsid w:val="004902E5"/>
    <w:rsid w:val="00490DC6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616E"/>
    <w:rsid w:val="004E68A8"/>
    <w:rsid w:val="004F04D9"/>
    <w:rsid w:val="004F09EC"/>
    <w:rsid w:val="004F1B83"/>
    <w:rsid w:val="004F47BB"/>
    <w:rsid w:val="004F4AD0"/>
    <w:rsid w:val="004F5D2B"/>
    <w:rsid w:val="005030A9"/>
    <w:rsid w:val="005110DF"/>
    <w:rsid w:val="00514B77"/>
    <w:rsid w:val="00516751"/>
    <w:rsid w:val="0051711A"/>
    <w:rsid w:val="00520D2F"/>
    <w:rsid w:val="00525D5A"/>
    <w:rsid w:val="005279DB"/>
    <w:rsid w:val="005431EE"/>
    <w:rsid w:val="00543F95"/>
    <w:rsid w:val="00544B00"/>
    <w:rsid w:val="00550C2F"/>
    <w:rsid w:val="00552306"/>
    <w:rsid w:val="00552DDE"/>
    <w:rsid w:val="00555DB8"/>
    <w:rsid w:val="00556693"/>
    <w:rsid w:val="00557A78"/>
    <w:rsid w:val="00560199"/>
    <w:rsid w:val="00565499"/>
    <w:rsid w:val="005722C2"/>
    <w:rsid w:val="00575352"/>
    <w:rsid w:val="00576D86"/>
    <w:rsid w:val="0058226E"/>
    <w:rsid w:val="00582CA6"/>
    <w:rsid w:val="00585000"/>
    <w:rsid w:val="00585240"/>
    <w:rsid w:val="00585BA1"/>
    <w:rsid w:val="005925E4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4762"/>
    <w:rsid w:val="005C71CA"/>
    <w:rsid w:val="005C72B8"/>
    <w:rsid w:val="005D2D61"/>
    <w:rsid w:val="005D3169"/>
    <w:rsid w:val="005D4E50"/>
    <w:rsid w:val="005D5F1B"/>
    <w:rsid w:val="005D6081"/>
    <w:rsid w:val="005E656C"/>
    <w:rsid w:val="005E7D54"/>
    <w:rsid w:val="005F2001"/>
    <w:rsid w:val="006047BD"/>
    <w:rsid w:val="00616A68"/>
    <w:rsid w:val="0062067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93913"/>
    <w:rsid w:val="0069418F"/>
    <w:rsid w:val="006944FA"/>
    <w:rsid w:val="006A1220"/>
    <w:rsid w:val="006A27D2"/>
    <w:rsid w:val="006A38D5"/>
    <w:rsid w:val="006B09BD"/>
    <w:rsid w:val="006B34F9"/>
    <w:rsid w:val="006C1C82"/>
    <w:rsid w:val="006C33CC"/>
    <w:rsid w:val="006C49DD"/>
    <w:rsid w:val="006D2E84"/>
    <w:rsid w:val="006E5119"/>
    <w:rsid w:val="006E55E3"/>
    <w:rsid w:val="006F49D0"/>
    <w:rsid w:val="006F784E"/>
    <w:rsid w:val="007053F0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06D4"/>
    <w:rsid w:val="007444A6"/>
    <w:rsid w:val="00744744"/>
    <w:rsid w:val="00746A56"/>
    <w:rsid w:val="007477C3"/>
    <w:rsid w:val="00750310"/>
    <w:rsid w:val="00751385"/>
    <w:rsid w:val="00755194"/>
    <w:rsid w:val="00755BB8"/>
    <w:rsid w:val="007577EB"/>
    <w:rsid w:val="00764EFE"/>
    <w:rsid w:val="00765B70"/>
    <w:rsid w:val="00767A9E"/>
    <w:rsid w:val="00771BAF"/>
    <w:rsid w:val="0077331E"/>
    <w:rsid w:val="007763C4"/>
    <w:rsid w:val="00783C8C"/>
    <w:rsid w:val="00784A00"/>
    <w:rsid w:val="00793460"/>
    <w:rsid w:val="00794CA8"/>
    <w:rsid w:val="0079778A"/>
    <w:rsid w:val="00797A71"/>
    <w:rsid w:val="007A012C"/>
    <w:rsid w:val="007A0695"/>
    <w:rsid w:val="007A06BD"/>
    <w:rsid w:val="007A168E"/>
    <w:rsid w:val="007B14EE"/>
    <w:rsid w:val="007B1D7B"/>
    <w:rsid w:val="007B2C54"/>
    <w:rsid w:val="007B7000"/>
    <w:rsid w:val="007B78CC"/>
    <w:rsid w:val="007B7B39"/>
    <w:rsid w:val="007B7E23"/>
    <w:rsid w:val="007C0D0D"/>
    <w:rsid w:val="007C1D64"/>
    <w:rsid w:val="007C2E0D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1FD6"/>
    <w:rsid w:val="00814862"/>
    <w:rsid w:val="00814FAE"/>
    <w:rsid w:val="0081618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5257B"/>
    <w:rsid w:val="0085261F"/>
    <w:rsid w:val="00855EA6"/>
    <w:rsid w:val="00862EB0"/>
    <w:rsid w:val="008635BB"/>
    <w:rsid w:val="00870F2A"/>
    <w:rsid w:val="008738DD"/>
    <w:rsid w:val="00885886"/>
    <w:rsid w:val="008A1F96"/>
    <w:rsid w:val="008A27E3"/>
    <w:rsid w:val="008A4169"/>
    <w:rsid w:val="008A54B5"/>
    <w:rsid w:val="008C5C09"/>
    <w:rsid w:val="008D07F6"/>
    <w:rsid w:val="008D0EE2"/>
    <w:rsid w:val="008D7F55"/>
    <w:rsid w:val="008E4BB7"/>
    <w:rsid w:val="008E5966"/>
    <w:rsid w:val="008F039C"/>
    <w:rsid w:val="008F0D80"/>
    <w:rsid w:val="008F3EC9"/>
    <w:rsid w:val="008F43DF"/>
    <w:rsid w:val="008F51DD"/>
    <w:rsid w:val="008F7BC0"/>
    <w:rsid w:val="009009D5"/>
    <w:rsid w:val="00900C4D"/>
    <w:rsid w:val="00900F12"/>
    <w:rsid w:val="0090245E"/>
    <w:rsid w:val="00904198"/>
    <w:rsid w:val="00910F9E"/>
    <w:rsid w:val="00911FFC"/>
    <w:rsid w:val="009140DE"/>
    <w:rsid w:val="0091528A"/>
    <w:rsid w:val="00923948"/>
    <w:rsid w:val="009252B8"/>
    <w:rsid w:val="009274B1"/>
    <w:rsid w:val="00927D35"/>
    <w:rsid w:val="00927DB3"/>
    <w:rsid w:val="00937A73"/>
    <w:rsid w:val="00941100"/>
    <w:rsid w:val="009419D1"/>
    <w:rsid w:val="00943CDC"/>
    <w:rsid w:val="0095177F"/>
    <w:rsid w:val="00954D29"/>
    <w:rsid w:val="00961752"/>
    <w:rsid w:val="00963BF1"/>
    <w:rsid w:val="00965322"/>
    <w:rsid w:val="009668DD"/>
    <w:rsid w:val="00970355"/>
    <w:rsid w:val="00972CA1"/>
    <w:rsid w:val="00974F45"/>
    <w:rsid w:val="00974FA5"/>
    <w:rsid w:val="00980840"/>
    <w:rsid w:val="00983702"/>
    <w:rsid w:val="00985C2F"/>
    <w:rsid w:val="00986996"/>
    <w:rsid w:val="00991433"/>
    <w:rsid w:val="0099235C"/>
    <w:rsid w:val="00995E94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174E"/>
    <w:rsid w:val="009D33AD"/>
    <w:rsid w:val="009D35FA"/>
    <w:rsid w:val="009D364E"/>
    <w:rsid w:val="009E1ACA"/>
    <w:rsid w:val="009E4F6C"/>
    <w:rsid w:val="009F236C"/>
    <w:rsid w:val="009F29EF"/>
    <w:rsid w:val="009F5B23"/>
    <w:rsid w:val="00A031DF"/>
    <w:rsid w:val="00A03236"/>
    <w:rsid w:val="00A078F8"/>
    <w:rsid w:val="00A20222"/>
    <w:rsid w:val="00A21226"/>
    <w:rsid w:val="00A21D3D"/>
    <w:rsid w:val="00A22156"/>
    <w:rsid w:val="00A27ABD"/>
    <w:rsid w:val="00A31FAE"/>
    <w:rsid w:val="00A424D0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83FE7"/>
    <w:rsid w:val="00A856E3"/>
    <w:rsid w:val="00A9563A"/>
    <w:rsid w:val="00A95837"/>
    <w:rsid w:val="00AA01F7"/>
    <w:rsid w:val="00AA4372"/>
    <w:rsid w:val="00AB108F"/>
    <w:rsid w:val="00AB5523"/>
    <w:rsid w:val="00AB7E3D"/>
    <w:rsid w:val="00AC04B3"/>
    <w:rsid w:val="00AC05C5"/>
    <w:rsid w:val="00AC37D6"/>
    <w:rsid w:val="00AC3E22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D2E"/>
    <w:rsid w:val="00AF5E59"/>
    <w:rsid w:val="00AF6134"/>
    <w:rsid w:val="00AF7859"/>
    <w:rsid w:val="00B0159C"/>
    <w:rsid w:val="00B029F9"/>
    <w:rsid w:val="00B0421D"/>
    <w:rsid w:val="00B0528B"/>
    <w:rsid w:val="00B05733"/>
    <w:rsid w:val="00B06481"/>
    <w:rsid w:val="00B11033"/>
    <w:rsid w:val="00B122E0"/>
    <w:rsid w:val="00B126A5"/>
    <w:rsid w:val="00B1660A"/>
    <w:rsid w:val="00B1680B"/>
    <w:rsid w:val="00B16ABF"/>
    <w:rsid w:val="00B17A1C"/>
    <w:rsid w:val="00B208DF"/>
    <w:rsid w:val="00B25F35"/>
    <w:rsid w:val="00B26FB2"/>
    <w:rsid w:val="00B35EE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70A55"/>
    <w:rsid w:val="00B82651"/>
    <w:rsid w:val="00B836A9"/>
    <w:rsid w:val="00B83C57"/>
    <w:rsid w:val="00B866AB"/>
    <w:rsid w:val="00B91B73"/>
    <w:rsid w:val="00B92C34"/>
    <w:rsid w:val="00B95337"/>
    <w:rsid w:val="00B9679C"/>
    <w:rsid w:val="00BB4A4B"/>
    <w:rsid w:val="00BC0154"/>
    <w:rsid w:val="00BC120F"/>
    <w:rsid w:val="00BC2E8F"/>
    <w:rsid w:val="00BC409A"/>
    <w:rsid w:val="00BC498B"/>
    <w:rsid w:val="00BD0B73"/>
    <w:rsid w:val="00BD0E90"/>
    <w:rsid w:val="00BD0F4D"/>
    <w:rsid w:val="00BD19EF"/>
    <w:rsid w:val="00BD7DD3"/>
    <w:rsid w:val="00BE169A"/>
    <w:rsid w:val="00BE2760"/>
    <w:rsid w:val="00BF2489"/>
    <w:rsid w:val="00BF29E7"/>
    <w:rsid w:val="00BF5C04"/>
    <w:rsid w:val="00BF7C76"/>
    <w:rsid w:val="00C04423"/>
    <w:rsid w:val="00C05AE4"/>
    <w:rsid w:val="00C121E0"/>
    <w:rsid w:val="00C15B45"/>
    <w:rsid w:val="00C166AB"/>
    <w:rsid w:val="00C2481E"/>
    <w:rsid w:val="00C26F58"/>
    <w:rsid w:val="00C461BB"/>
    <w:rsid w:val="00C464A4"/>
    <w:rsid w:val="00C47E6C"/>
    <w:rsid w:val="00C530FE"/>
    <w:rsid w:val="00C5377A"/>
    <w:rsid w:val="00C538CE"/>
    <w:rsid w:val="00C5591F"/>
    <w:rsid w:val="00C56721"/>
    <w:rsid w:val="00C63AB0"/>
    <w:rsid w:val="00C648F0"/>
    <w:rsid w:val="00C66E4F"/>
    <w:rsid w:val="00C73CE7"/>
    <w:rsid w:val="00C73F2B"/>
    <w:rsid w:val="00C74B9E"/>
    <w:rsid w:val="00C7557C"/>
    <w:rsid w:val="00C764B8"/>
    <w:rsid w:val="00C80675"/>
    <w:rsid w:val="00C82184"/>
    <w:rsid w:val="00C82229"/>
    <w:rsid w:val="00C831B4"/>
    <w:rsid w:val="00C84406"/>
    <w:rsid w:val="00C946AC"/>
    <w:rsid w:val="00C94A49"/>
    <w:rsid w:val="00C95FC2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63A2"/>
    <w:rsid w:val="00CF74F0"/>
    <w:rsid w:val="00D04704"/>
    <w:rsid w:val="00D04B1F"/>
    <w:rsid w:val="00D05346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51043"/>
    <w:rsid w:val="00D51285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90F5D"/>
    <w:rsid w:val="00D93FA2"/>
    <w:rsid w:val="00D95FA2"/>
    <w:rsid w:val="00D96AE5"/>
    <w:rsid w:val="00DA0E41"/>
    <w:rsid w:val="00DA1F61"/>
    <w:rsid w:val="00DA354A"/>
    <w:rsid w:val="00DA3DDD"/>
    <w:rsid w:val="00DA6330"/>
    <w:rsid w:val="00DB7923"/>
    <w:rsid w:val="00DC78D3"/>
    <w:rsid w:val="00DD34E7"/>
    <w:rsid w:val="00DE54BB"/>
    <w:rsid w:val="00DE7733"/>
    <w:rsid w:val="00DF1F8E"/>
    <w:rsid w:val="00DF30A1"/>
    <w:rsid w:val="00DF3189"/>
    <w:rsid w:val="00DF5F78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31458"/>
    <w:rsid w:val="00E338CF"/>
    <w:rsid w:val="00E35BBE"/>
    <w:rsid w:val="00E36D21"/>
    <w:rsid w:val="00E3730F"/>
    <w:rsid w:val="00E413BC"/>
    <w:rsid w:val="00E41F83"/>
    <w:rsid w:val="00E45F65"/>
    <w:rsid w:val="00E52092"/>
    <w:rsid w:val="00E52824"/>
    <w:rsid w:val="00E556EE"/>
    <w:rsid w:val="00E578EE"/>
    <w:rsid w:val="00E57F55"/>
    <w:rsid w:val="00E64142"/>
    <w:rsid w:val="00E651F7"/>
    <w:rsid w:val="00E659B8"/>
    <w:rsid w:val="00E6698E"/>
    <w:rsid w:val="00E6734F"/>
    <w:rsid w:val="00E7089D"/>
    <w:rsid w:val="00E771E1"/>
    <w:rsid w:val="00E87F98"/>
    <w:rsid w:val="00E94836"/>
    <w:rsid w:val="00E96C7B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F5DCA"/>
    <w:rsid w:val="00EF5DCB"/>
    <w:rsid w:val="00EF7411"/>
    <w:rsid w:val="00F00039"/>
    <w:rsid w:val="00F00DA5"/>
    <w:rsid w:val="00F03851"/>
    <w:rsid w:val="00F135BE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6E2"/>
    <w:rsid w:val="00F43733"/>
    <w:rsid w:val="00F43CE0"/>
    <w:rsid w:val="00F45D9B"/>
    <w:rsid w:val="00F55405"/>
    <w:rsid w:val="00F60704"/>
    <w:rsid w:val="00F64C50"/>
    <w:rsid w:val="00F65E23"/>
    <w:rsid w:val="00F66EF0"/>
    <w:rsid w:val="00F67746"/>
    <w:rsid w:val="00F709C3"/>
    <w:rsid w:val="00F728AF"/>
    <w:rsid w:val="00F83A4C"/>
    <w:rsid w:val="00F91B82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1BB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5322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5925E4"/>
    <w:pPr>
      <w:widowControl w:val="0"/>
      <w:autoSpaceDE w:val="0"/>
      <w:autoSpaceDN w:val="0"/>
      <w:spacing w:before="239" w:line="240" w:lineRule="auto"/>
      <w:ind w:left="160"/>
    </w:pPr>
    <w:rPr>
      <w:rFonts w:ascii="Lucida Sans Unicode" w:eastAsia="Lucida Sans Unicode" w:hAnsi="Lucida Sans Unicode" w:cs="Lucida Sans Unicode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925E4"/>
    <w:rPr>
      <w:rFonts w:ascii="Lucida Sans Unicode" w:eastAsia="Lucida Sans Unicode" w:hAnsi="Lucida Sans Unicode" w:cs="Lucida Sans Unicode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FC484-2D99-45B3-8D1C-A28E7161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1623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7</cp:revision>
  <cp:lastPrinted>2018-03-28T18:28:00Z</cp:lastPrinted>
  <dcterms:created xsi:type="dcterms:W3CDTF">2026-05-12T13:52:00Z</dcterms:created>
  <dcterms:modified xsi:type="dcterms:W3CDTF">2026-05-12T17:01:00Z</dcterms:modified>
</cp:coreProperties>
</file>