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62A3D" w14:textId="77777777" w:rsidR="007E407B" w:rsidRDefault="007E407B" w:rsidP="007E407B">
      <w:pPr>
        <w:pStyle w:val="Cabealho1"/>
        <w:tabs>
          <w:tab w:val="left" w:pos="7797"/>
        </w:tabs>
        <w:jc w:val="center"/>
        <w:rPr>
          <w:rFonts w:ascii="Times New Roman" w:eastAsia="Times New Roman" w:hAnsi="Times New Roman" w:cs="Times New Roman"/>
        </w:rPr>
      </w:pPr>
      <w:bookmarkStart w:id="0" w:name="_gjdgxs" w:colFirst="0" w:colLast="0"/>
      <w:bookmarkEnd w:id="0"/>
    </w:p>
    <w:p w14:paraId="62F8168D" w14:textId="31320A3A" w:rsidR="001D0808" w:rsidRPr="001D0808" w:rsidRDefault="001D0808" w:rsidP="001D0808">
      <w:pPr>
        <w:shd w:val="clear" w:color="auto" w:fill="FFFFFF"/>
        <w:spacing w:after="300" w:line="360" w:lineRule="auto"/>
        <w:jc w:val="center"/>
        <w:outlineLvl w:val="1"/>
        <w:rPr>
          <w:rFonts w:ascii="Times New Roman" w:hAnsi="Times New Roman"/>
          <w:b/>
        </w:rPr>
      </w:pPr>
      <w:r w:rsidRPr="001D0808">
        <w:rPr>
          <w:rFonts w:ascii="Times New Roman" w:hAnsi="Times New Roman"/>
          <w:b/>
        </w:rPr>
        <w:t xml:space="preserve">PROJETO DE </w:t>
      </w:r>
      <w:r w:rsidR="00E715C0" w:rsidRPr="001D0808">
        <w:rPr>
          <w:rFonts w:ascii="Times New Roman" w:hAnsi="Times New Roman"/>
          <w:b/>
        </w:rPr>
        <w:t>LEI</w:t>
      </w:r>
      <w:r w:rsidR="00E715C0">
        <w:rPr>
          <w:rFonts w:ascii="Times New Roman" w:hAnsi="Times New Roman"/>
          <w:b/>
        </w:rPr>
        <w:t xml:space="preserve"> </w:t>
      </w:r>
      <w:r w:rsidR="00E715C0" w:rsidRPr="001D0808">
        <w:rPr>
          <w:rFonts w:ascii="Times New Roman" w:hAnsi="Times New Roman"/>
          <w:b/>
        </w:rPr>
        <w:t>Nº</w:t>
      </w:r>
      <w:r w:rsidRPr="001D080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</w:t>
      </w:r>
      <w:r w:rsidRPr="001D080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</w:t>
      </w:r>
      <w:r w:rsidRPr="001D0808">
        <w:rPr>
          <w:rFonts w:ascii="Times New Roman" w:hAnsi="Times New Roman"/>
          <w:b/>
        </w:rPr>
        <w:t>/202</w:t>
      </w:r>
      <w:r w:rsidR="002F7889">
        <w:rPr>
          <w:rFonts w:ascii="Times New Roman" w:hAnsi="Times New Roman"/>
          <w:b/>
        </w:rPr>
        <w:t>6</w:t>
      </w:r>
    </w:p>
    <w:p w14:paraId="5E2120EF" w14:textId="53182901" w:rsidR="00736439" w:rsidRPr="00042F1B" w:rsidRDefault="00042F1B" w:rsidP="001D0808">
      <w:pPr>
        <w:ind w:left="396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Dispõe sobre a obrigatoriedade de disponibilização de maca ginecológica acessível e equipamentos adaptados para atendimento de mulheres com deficiência e mobilidade reduzida nos serviços públicos e privados de saúde no âmbito do Estado do Maranhão, e dá outras providências.</w:t>
      </w:r>
    </w:p>
    <w:p w14:paraId="3E191F9C" w14:textId="77777777" w:rsidR="00736439" w:rsidRPr="001D0808" w:rsidRDefault="00736439" w:rsidP="00F77427">
      <w:pPr>
        <w:ind w:left="3969"/>
        <w:rPr>
          <w:rFonts w:ascii="Times New Roman" w:hAnsi="Times New Roman"/>
        </w:rPr>
      </w:pPr>
    </w:p>
    <w:p w14:paraId="1CAE1C43" w14:textId="77777777" w:rsidR="00736439" w:rsidRPr="00736439" w:rsidRDefault="00736439" w:rsidP="00F77427">
      <w:pPr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>CAPÍTULO I</w:t>
      </w:r>
    </w:p>
    <w:p w14:paraId="4D68C754" w14:textId="5E7EF773" w:rsidR="00736439" w:rsidRDefault="00736439" w:rsidP="00F77427">
      <w:pPr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>DISPOSIÇÕES GERAIS</w:t>
      </w:r>
    </w:p>
    <w:p w14:paraId="347FE8E6" w14:textId="77777777" w:rsidR="00736439" w:rsidRDefault="00736439" w:rsidP="00F77427">
      <w:pPr>
        <w:jc w:val="center"/>
        <w:rPr>
          <w:rFonts w:ascii="Times New Roman" w:hAnsi="Times New Roman"/>
          <w:b/>
          <w:bCs/>
          <w:color w:val="000000"/>
        </w:rPr>
      </w:pPr>
    </w:p>
    <w:p w14:paraId="7D31E467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  <w:b/>
          <w:bCs/>
        </w:rPr>
        <w:t>Art. 1º</w:t>
      </w:r>
      <w:r w:rsidRPr="00042F1B">
        <w:rPr>
          <w:rFonts w:ascii="Times New Roman" w:hAnsi="Times New Roman"/>
        </w:rPr>
        <w:t xml:space="preserve"> Fica obrigatória, no âmbito do Estado do Maranhão, a disponibilização de maca ginecológica acessível e equipamentos adequados ao atendimento de mulheres com deficiência e mobilidade reduzida em hospitais, clínicas, consultórios, ambulatórios, maternidades, unidades de saúde e demais estabelecimentos públicos e privados que realizem atendimentos ginecológicos e exames preventivos.</w:t>
      </w:r>
    </w:p>
    <w:p w14:paraId="7E143DD9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  <w:b/>
          <w:bCs/>
        </w:rPr>
        <w:t>Art. 2º</w:t>
      </w:r>
      <w:r w:rsidRPr="00042F1B">
        <w:rPr>
          <w:rFonts w:ascii="Times New Roman" w:hAnsi="Times New Roman"/>
        </w:rPr>
        <w:t xml:space="preserve"> Para os fins desta Lei, considera-se maca ginecológica acessível o equipamento que possibilite, com segurança, autonomia, dignidade e acessibilidade:</w:t>
      </w:r>
    </w:p>
    <w:p w14:paraId="6995A68A" w14:textId="7399C18E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>I – Transferência lateral ou frontal da paciente;</w:t>
      </w:r>
    </w:p>
    <w:p w14:paraId="2D22EDF3" w14:textId="33C6B658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>II – Regulagem de altura;</w:t>
      </w:r>
    </w:p>
    <w:p w14:paraId="300F59BF" w14:textId="6DB68D37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 xml:space="preserve">III – </w:t>
      </w:r>
      <w:r>
        <w:rPr>
          <w:rFonts w:ascii="Times New Roman" w:hAnsi="Times New Roman"/>
        </w:rPr>
        <w:t>A</w:t>
      </w:r>
      <w:r w:rsidRPr="00042F1B">
        <w:rPr>
          <w:rFonts w:ascii="Times New Roman" w:hAnsi="Times New Roman"/>
        </w:rPr>
        <w:t>cesso adequado para usuárias de cadeira de rodas;</w:t>
      </w:r>
    </w:p>
    <w:p w14:paraId="2602A089" w14:textId="77777777" w:rsidR="00BF69D9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 xml:space="preserve">IV – </w:t>
      </w:r>
      <w:r>
        <w:rPr>
          <w:rFonts w:ascii="Times New Roman" w:hAnsi="Times New Roman"/>
        </w:rPr>
        <w:t>E</w:t>
      </w:r>
      <w:r w:rsidRPr="00042F1B">
        <w:rPr>
          <w:rFonts w:ascii="Times New Roman" w:hAnsi="Times New Roman"/>
        </w:rPr>
        <w:t>stabilização e posicionamento compatíveis com diferentes limitações funcionais;</w:t>
      </w:r>
    </w:p>
    <w:p w14:paraId="16A5325A" w14:textId="37FAA7C2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>V – Realização de exames preventivos, ginecológicos e obstétricos sem necessidade de levantamento manual inadequado da paciente.</w:t>
      </w:r>
    </w:p>
    <w:p w14:paraId="11CA6FAE" w14:textId="16594D42" w:rsidR="00F77427" w:rsidRPr="00736439" w:rsidRDefault="00F77427" w:rsidP="00042F1B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>CAPÍTULO I</w:t>
      </w:r>
      <w:r>
        <w:rPr>
          <w:rFonts w:ascii="Times New Roman" w:hAnsi="Times New Roman"/>
          <w:b/>
          <w:bCs/>
          <w:color w:val="000000"/>
        </w:rPr>
        <w:t>I</w:t>
      </w:r>
    </w:p>
    <w:p w14:paraId="1E2B10EC" w14:textId="6596321B" w:rsidR="00F77427" w:rsidRDefault="00F77427" w:rsidP="00042F1B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D</w:t>
      </w:r>
      <w:r w:rsidR="005F04BD">
        <w:rPr>
          <w:rFonts w:ascii="Times New Roman" w:hAnsi="Times New Roman"/>
          <w:b/>
          <w:bCs/>
          <w:color w:val="000000"/>
        </w:rPr>
        <w:t>AS OBRIGAÇÕES DOS ESTABELE</w:t>
      </w:r>
      <w:r w:rsidR="00042F1B">
        <w:rPr>
          <w:rFonts w:ascii="Times New Roman" w:hAnsi="Times New Roman"/>
          <w:b/>
          <w:bCs/>
          <w:color w:val="000000"/>
        </w:rPr>
        <w:t xml:space="preserve">CIMENTOS DE SAÚDE </w:t>
      </w:r>
    </w:p>
    <w:p w14:paraId="0DEAF4E3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  <w:b/>
          <w:bCs/>
        </w:rPr>
        <w:t>Art. 3º</w:t>
      </w:r>
      <w:r w:rsidRPr="00042F1B">
        <w:rPr>
          <w:rFonts w:ascii="Times New Roman" w:hAnsi="Times New Roman"/>
        </w:rPr>
        <w:t xml:space="preserve"> Os estabelecimentos de saúde abrangidos por esta Lei deverão assegurar:</w:t>
      </w:r>
    </w:p>
    <w:p w14:paraId="09C173FF" w14:textId="401E1CA4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lastRenderedPageBreak/>
        <w:t>I – Acessibilidade arquitetônica e instrumental para realização de exames ginecológicos;</w:t>
      </w:r>
    </w:p>
    <w:p w14:paraId="5D8BB4B5" w14:textId="7C2DAFCC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>II – Condições adequadas de acolhimento, privacidade e segurança;</w:t>
      </w:r>
    </w:p>
    <w:p w14:paraId="53A07100" w14:textId="3DD5325C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 xml:space="preserve">III – </w:t>
      </w:r>
      <w:r>
        <w:rPr>
          <w:rFonts w:ascii="Times New Roman" w:hAnsi="Times New Roman"/>
        </w:rPr>
        <w:t>C</w:t>
      </w:r>
      <w:r w:rsidRPr="00042F1B">
        <w:rPr>
          <w:rFonts w:ascii="Times New Roman" w:hAnsi="Times New Roman"/>
        </w:rPr>
        <w:t>apacitação básica das equipes para atendimento humanizado de mulheres com deficiência;</w:t>
      </w:r>
    </w:p>
    <w:p w14:paraId="4D1BE065" w14:textId="28445503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>IV – Direito ao acompanhamento, nos termos da legislação vigente;</w:t>
      </w:r>
    </w:p>
    <w:p w14:paraId="417C62E6" w14:textId="63A395E8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>V – Prioridade na substituição de equipamentos incompatíveis com normas de acessibilidade.</w:t>
      </w:r>
    </w:p>
    <w:p w14:paraId="5BEAF416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  <w:b/>
          <w:bCs/>
        </w:rPr>
        <w:t>Art. 4º</w:t>
      </w:r>
      <w:r w:rsidRPr="00042F1B">
        <w:rPr>
          <w:rFonts w:ascii="Times New Roman" w:hAnsi="Times New Roman"/>
        </w:rPr>
        <w:t xml:space="preserve"> As unidades integrantes do Sistema Único de Saúde – SUS deverão incorporar progressivamente os equipamentos previstos nesta Lei em seus processos de aquisição, ampliação e modernização estrutural.</w:t>
      </w:r>
    </w:p>
    <w:p w14:paraId="5FA2C45C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  <w:b/>
          <w:bCs/>
        </w:rPr>
        <w:t>Art. 5º</w:t>
      </w:r>
      <w:r w:rsidRPr="00042F1B">
        <w:rPr>
          <w:rFonts w:ascii="Times New Roman" w:hAnsi="Times New Roman"/>
        </w:rPr>
        <w:t xml:space="preserve"> Os estabelecimentos privados terão prazo de até 24 (vinte e quatro) meses para adequação às disposições desta Lei, contados da data de sua publicação.</w:t>
      </w:r>
    </w:p>
    <w:p w14:paraId="2576F3FD" w14:textId="6711AA09" w:rsidR="00F77427" w:rsidRDefault="00F77427" w:rsidP="00042F1B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>CAPÍTULO II</w:t>
      </w:r>
      <w:r>
        <w:rPr>
          <w:rFonts w:ascii="Times New Roman" w:hAnsi="Times New Roman"/>
          <w:b/>
          <w:bCs/>
          <w:color w:val="000000"/>
        </w:rPr>
        <w:t>I</w:t>
      </w:r>
    </w:p>
    <w:p w14:paraId="5BF7A498" w14:textId="16191274" w:rsidR="00F77427" w:rsidRDefault="00F77427" w:rsidP="00042F1B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DAS </w:t>
      </w:r>
      <w:r w:rsidR="00042F1B">
        <w:rPr>
          <w:rFonts w:ascii="Times New Roman" w:hAnsi="Times New Roman"/>
          <w:b/>
          <w:bCs/>
          <w:color w:val="000000"/>
        </w:rPr>
        <w:t xml:space="preserve">PENALIDADES E DA FISCALIZAÇÃO </w:t>
      </w:r>
    </w:p>
    <w:p w14:paraId="4B29CBDA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  <w:b/>
          <w:bCs/>
        </w:rPr>
        <w:t>Art. 6º</w:t>
      </w:r>
      <w:r w:rsidRPr="00042F1B">
        <w:rPr>
          <w:rFonts w:ascii="Times New Roman" w:hAnsi="Times New Roman"/>
        </w:rPr>
        <w:t xml:space="preserve"> O descumprimento desta Lei sujeitará os estabelecimentos privados às seguintes penalidades, sem prejuízo das demais sanções administrativas, civis e penais cabíveis:</w:t>
      </w:r>
    </w:p>
    <w:p w14:paraId="1D7E59B1" w14:textId="273C48D9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>I – Advertência;</w:t>
      </w:r>
    </w:p>
    <w:p w14:paraId="13439992" w14:textId="27E860CF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 xml:space="preserve">II – </w:t>
      </w:r>
      <w:r>
        <w:rPr>
          <w:rFonts w:ascii="Times New Roman" w:hAnsi="Times New Roman"/>
        </w:rPr>
        <w:t>M</w:t>
      </w:r>
      <w:r w:rsidRPr="00042F1B">
        <w:rPr>
          <w:rFonts w:ascii="Times New Roman" w:hAnsi="Times New Roman"/>
        </w:rPr>
        <w:t>ulta;</w:t>
      </w:r>
    </w:p>
    <w:p w14:paraId="23672758" w14:textId="00B97C54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 xml:space="preserve">III – </w:t>
      </w:r>
      <w:r>
        <w:rPr>
          <w:rFonts w:ascii="Times New Roman" w:hAnsi="Times New Roman"/>
        </w:rPr>
        <w:t>S</w:t>
      </w:r>
      <w:r w:rsidRPr="00042F1B">
        <w:rPr>
          <w:rFonts w:ascii="Times New Roman" w:hAnsi="Times New Roman"/>
        </w:rPr>
        <w:t>uspensão temporária do alvará de funcionamento em caso de reincidência grave.</w:t>
      </w:r>
    </w:p>
    <w:p w14:paraId="475D2260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</w:rPr>
        <w:t>Parágrafo único. A regulamentação das penalidades e dos critérios de fiscalização será definida pelo Poder Executivo.</w:t>
      </w:r>
    </w:p>
    <w:p w14:paraId="140714E6" w14:textId="77777777" w:rsidR="00F77427" w:rsidRPr="00736439" w:rsidRDefault="00F77427" w:rsidP="00042F1B">
      <w:pPr>
        <w:spacing w:line="360" w:lineRule="auto"/>
        <w:rPr>
          <w:rFonts w:ascii="Times New Roman" w:hAnsi="Times New Roman"/>
          <w:b/>
          <w:bCs/>
          <w:color w:val="000000"/>
        </w:rPr>
      </w:pPr>
    </w:p>
    <w:p w14:paraId="6955F653" w14:textId="4817F9F2" w:rsidR="00F77427" w:rsidRDefault="00F77427" w:rsidP="00042F1B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 xml:space="preserve">CAPÍTULO </w:t>
      </w:r>
      <w:r>
        <w:rPr>
          <w:rFonts w:ascii="Times New Roman" w:hAnsi="Times New Roman"/>
          <w:b/>
          <w:bCs/>
          <w:color w:val="000000"/>
        </w:rPr>
        <w:t>IV</w:t>
      </w:r>
    </w:p>
    <w:p w14:paraId="2B253985" w14:textId="4EC37D74" w:rsidR="00F77427" w:rsidRDefault="00F77427" w:rsidP="00042F1B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DAS DISPOS</w:t>
      </w:r>
      <w:r w:rsidR="005F04BD">
        <w:rPr>
          <w:rFonts w:ascii="Times New Roman" w:hAnsi="Times New Roman"/>
          <w:b/>
          <w:bCs/>
          <w:color w:val="000000"/>
        </w:rPr>
        <w:t>I</w:t>
      </w:r>
      <w:r>
        <w:rPr>
          <w:rFonts w:ascii="Times New Roman" w:hAnsi="Times New Roman"/>
          <w:b/>
          <w:bCs/>
          <w:color w:val="000000"/>
        </w:rPr>
        <w:t xml:space="preserve">ÇÕES FINAIS </w:t>
      </w:r>
    </w:p>
    <w:p w14:paraId="6E6469B4" w14:textId="491EE2D6" w:rsidR="00042F1B" w:rsidRPr="00042F1B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</w:t>
      </w:r>
      <w:r w:rsidRPr="00042F1B">
        <w:rPr>
          <w:rFonts w:ascii="Times New Roman" w:hAnsi="Times New Roman"/>
          <w:b/>
          <w:bCs/>
        </w:rPr>
        <w:t>rt. 7º</w:t>
      </w:r>
      <w:r w:rsidRPr="00042F1B">
        <w:rPr>
          <w:rFonts w:ascii="Times New Roman" w:hAnsi="Times New Roman"/>
        </w:rPr>
        <w:t xml:space="preserve"> O Poder Executivo poderá celebrar convênios e parcerias com universidades, entidades representativas, organizações da sociedade civil e instituições de saúde para promoção de capacitação e implementação das medidas previstas nesta Lei.</w:t>
      </w:r>
    </w:p>
    <w:p w14:paraId="3AB25405" w14:textId="03E72D41" w:rsidR="004955A4" w:rsidRDefault="00042F1B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042F1B">
        <w:rPr>
          <w:rFonts w:ascii="Times New Roman" w:hAnsi="Times New Roman"/>
          <w:b/>
          <w:bCs/>
        </w:rPr>
        <w:t>Art. 8º</w:t>
      </w:r>
      <w:r w:rsidRPr="00042F1B">
        <w:rPr>
          <w:rFonts w:ascii="Times New Roman" w:hAnsi="Times New Roman"/>
        </w:rPr>
        <w:t xml:space="preserve"> Esta Lei entra em vigor na data de sua publicação.</w:t>
      </w:r>
    </w:p>
    <w:p w14:paraId="6AAEB9CF" w14:textId="22490226" w:rsidR="00C67E4E" w:rsidRPr="001D0808" w:rsidRDefault="00C67E4E" w:rsidP="00C67E4E">
      <w:pPr>
        <w:rPr>
          <w:rFonts w:ascii="Times New Roman" w:eastAsia="Calibri" w:hAnsi="Times New Roman"/>
          <w:bCs/>
          <w:color w:val="231F20"/>
          <w:lang w:eastAsia="en-US"/>
        </w:rPr>
      </w:pPr>
      <w:r w:rsidRPr="001D0808">
        <w:rPr>
          <w:rFonts w:ascii="Times New Roman" w:hAnsi="Times New Roman"/>
          <w:b/>
        </w:rPr>
        <w:t xml:space="preserve">PLENÁRIO DEPUTADO “NAGIB </w:t>
      </w:r>
      <w:r>
        <w:rPr>
          <w:rFonts w:ascii="Times New Roman" w:hAnsi="Times New Roman"/>
          <w:b/>
        </w:rPr>
        <w:t xml:space="preserve">  </w:t>
      </w:r>
      <w:r w:rsidRPr="001D0808">
        <w:rPr>
          <w:rFonts w:ascii="Times New Roman" w:hAnsi="Times New Roman"/>
          <w:b/>
        </w:rPr>
        <w:t>HAICKEL” DO PALÁCIO “MANUEL BECKMAN</w:t>
      </w:r>
      <w:r w:rsidRPr="005312D2">
        <w:rPr>
          <w:rFonts w:ascii="Times New Roman" w:hAnsi="Times New Roman"/>
          <w:b/>
        </w:rPr>
        <w:t>”</w:t>
      </w:r>
      <w:r w:rsidRPr="005312D2">
        <w:rPr>
          <w:rFonts w:ascii="Times New Roman" w:hAnsi="Times New Roman"/>
        </w:rPr>
        <w:t xml:space="preserve">, em </w:t>
      </w:r>
      <w:r>
        <w:rPr>
          <w:rFonts w:ascii="Times New Roman" w:hAnsi="Times New Roman"/>
        </w:rPr>
        <w:t xml:space="preserve">13 </w:t>
      </w:r>
      <w:r w:rsidRPr="005312D2">
        <w:rPr>
          <w:rFonts w:ascii="Times New Roman" w:hAnsi="Times New Roman"/>
        </w:rPr>
        <w:t xml:space="preserve">de </w:t>
      </w:r>
      <w:r>
        <w:rPr>
          <w:rFonts w:ascii="Times New Roman" w:hAnsi="Times New Roman"/>
        </w:rPr>
        <w:t xml:space="preserve">maio </w:t>
      </w:r>
      <w:r w:rsidRPr="005312D2">
        <w:rPr>
          <w:rFonts w:ascii="Times New Roman" w:hAnsi="Times New Roman"/>
        </w:rPr>
        <w:t>de 2026.</w:t>
      </w:r>
    </w:p>
    <w:p w14:paraId="4C1B192B" w14:textId="77777777" w:rsidR="00C67E4E" w:rsidRDefault="00C67E4E" w:rsidP="00C67E4E">
      <w:pPr>
        <w:spacing w:after="120"/>
        <w:rPr>
          <w:rFonts w:ascii="Times New Roman" w:hAnsi="Times New Roman"/>
        </w:rPr>
      </w:pPr>
    </w:p>
    <w:p w14:paraId="46A1657B" w14:textId="77777777" w:rsidR="00C67E4E" w:rsidRDefault="00C67E4E" w:rsidP="00C67E4E">
      <w:pPr>
        <w:spacing w:after="120"/>
        <w:rPr>
          <w:rFonts w:ascii="Times New Roman" w:hAnsi="Times New Roman"/>
        </w:rPr>
      </w:pPr>
    </w:p>
    <w:p w14:paraId="38BEF7E0" w14:textId="77777777" w:rsidR="00C67E4E" w:rsidRPr="001D0808" w:rsidRDefault="00C67E4E" w:rsidP="00C67E4E">
      <w:pPr>
        <w:spacing w:after="120"/>
        <w:ind w:firstLine="708"/>
        <w:rPr>
          <w:rFonts w:ascii="Times New Roman" w:hAnsi="Times New Roman"/>
        </w:rPr>
      </w:pPr>
    </w:p>
    <w:p w14:paraId="11381E33" w14:textId="77777777" w:rsidR="00C67E4E" w:rsidRPr="007150EB" w:rsidRDefault="00C67E4E" w:rsidP="00C67E4E">
      <w:pPr>
        <w:jc w:val="center"/>
        <w:rPr>
          <w:rFonts w:ascii="Times New Roman" w:hAnsi="Times New Roman"/>
          <w:b/>
          <w:bCs/>
        </w:rPr>
      </w:pPr>
      <w:r w:rsidRPr="007150EB">
        <w:rPr>
          <w:rFonts w:ascii="Times New Roman" w:hAnsi="Times New Roman"/>
          <w:b/>
          <w:bCs/>
        </w:rPr>
        <w:t>IRACEMA VALE</w:t>
      </w:r>
    </w:p>
    <w:p w14:paraId="30EB4B7E" w14:textId="77777777" w:rsidR="00C67E4E" w:rsidRPr="001D0808" w:rsidRDefault="00C67E4E" w:rsidP="00C67E4E">
      <w:pPr>
        <w:jc w:val="center"/>
        <w:rPr>
          <w:rFonts w:ascii="Times New Roman" w:hAnsi="Times New Roman"/>
          <w:sz w:val="20"/>
          <w:szCs w:val="20"/>
        </w:rPr>
      </w:pPr>
      <w:r w:rsidRPr="001D0808">
        <w:rPr>
          <w:rFonts w:ascii="Times New Roman" w:hAnsi="Times New Roman"/>
        </w:rPr>
        <w:t>Deputad</w:t>
      </w:r>
      <w:r>
        <w:rPr>
          <w:rFonts w:ascii="Times New Roman" w:hAnsi="Times New Roman"/>
        </w:rPr>
        <w:t>a</w:t>
      </w:r>
      <w:r w:rsidRPr="001D0808">
        <w:rPr>
          <w:rFonts w:ascii="Times New Roman" w:hAnsi="Times New Roman"/>
        </w:rPr>
        <w:t xml:space="preserve"> Estadual</w:t>
      </w:r>
    </w:p>
    <w:p w14:paraId="4DBBE6C2" w14:textId="77777777" w:rsidR="00C67E4E" w:rsidRPr="001D0808" w:rsidRDefault="00C67E4E" w:rsidP="00C67E4E">
      <w:pPr>
        <w:tabs>
          <w:tab w:val="center" w:pos="4252"/>
          <w:tab w:val="right" w:pos="8504"/>
        </w:tabs>
        <w:ind w:firstLine="1134"/>
        <w:rPr>
          <w:rFonts w:eastAsia="Calibri" w:cs="Arial"/>
          <w:bCs/>
        </w:rPr>
      </w:pPr>
    </w:p>
    <w:p w14:paraId="3C906CFB" w14:textId="77777777" w:rsidR="00C67E4E" w:rsidRPr="001D0808" w:rsidRDefault="00C67E4E" w:rsidP="00C67E4E">
      <w:pPr>
        <w:spacing w:line="360" w:lineRule="auto"/>
        <w:ind w:firstLine="851"/>
        <w:rPr>
          <w:rFonts w:ascii="Times New Roman" w:hAnsi="Times New Roman"/>
          <w:b/>
          <w:bCs/>
          <w:color w:val="000000"/>
        </w:rPr>
      </w:pPr>
    </w:p>
    <w:p w14:paraId="012B06C1" w14:textId="77777777" w:rsidR="00C67E4E" w:rsidRDefault="00C67E4E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</w:p>
    <w:p w14:paraId="245F9FC1" w14:textId="77777777" w:rsidR="00C67E4E" w:rsidRDefault="00C67E4E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</w:p>
    <w:p w14:paraId="74357445" w14:textId="77777777" w:rsidR="00C67E4E" w:rsidRDefault="00C67E4E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</w:p>
    <w:p w14:paraId="25D668C1" w14:textId="77777777" w:rsidR="00C67E4E" w:rsidRDefault="00C67E4E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</w:p>
    <w:p w14:paraId="4303CF19" w14:textId="77777777" w:rsidR="00C67E4E" w:rsidRDefault="00C67E4E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</w:p>
    <w:p w14:paraId="4807B258" w14:textId="77777777" w:rsidR="00C67E4E" w:rsidRDefault="00C67E4E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</w:p>
    <w:p w14:paraId="59919335" w14:textId="77777777" w:rsidR="00C67E4E" w:rsidRDefault="00C67E4E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</w:p>
    <w:p w14:paraId="05ACC531" w14:textId="77777777" w:rsidR="00C67E4E" w:rsidRDefault="00C67E4E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</w:p>
    <w:p w14:paraId="77DB1E25" w14:textId="77777777" w:rsidR="00C67E4E" w:rsidRDefault="00C67E4E" w:rsidP="00042F1B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</w:p>
    <w:p w14:paraId="5A922C4F" w14:textId="77777777" w:rsidR="00F77427" w:rsidRPr="00736439" w:rsidRDefault="00F77427" w:rsidP="00F77427">
      <w:pPr>
        <w:jc w:val="center"/>
        <w:rPr>
          <w:rFonts w:ascii="Times New Roman" w:hAnsi="Times New Roman"/>
          <w:b/>
          <w:bCs/>
          <w:color w:val="000000"/>
        </w:rPr>
      </w:pPr>
    </w:p>
    <w:p w14:paraId="19D48388" w14:textId="77777777" w:rsidR="005312D2" w:rsidRDefault="002F7889" w:rsidP="00F77427">
      <w:pPr>
        <w:ind w:left="2832"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JUSTIFICATIVA</w:t>
      </w:r>
    </w:p>
    <w:p w14:paraId="3989CC82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As mulheres com deficiência permanecem historicamente invisibilizadas nas políticas públicas de saúde, especialmente no campo da saúde sexual e reprodutiva. Barreiras arquitetônicas, estruturais, instrumentais e atitudinais ainda impedem o acesso pleno e digno a exames ginecológicos básicos, incluindo o exame preventivo do câncer do colo do útero.</w:t>
      </w:r>
    </w:p>
    <w:p w14:paraId="767762E7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O próprio Ministério da Saúde reconhece oficialmente que mulheres com deficiência e mobilidade reduzida frequentemente deixam de buscar atendimento em razão da ausência de acessibilidade física e instrumental nos serviços de saúde. O “Guia de Atenção à Saúde das Mulheres com Deficiência e Mobilidade Reduzida”, publicado pelo Ministério da Saúde, destaca que muitas mulheres deixam de realizar exames preventivos devido à falta de equipamentos adequados, barreiras arquitetônicas e ausência de acessibilidade nos atendimentos ginecológicos.</w:t>
      </w:r>
    </w:p>
    <w:p w14:paraId="5D1A234A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Estudos científicos e pesquisas recentes demonstram que mulheres com deficiência enfrentam obstáculos específicos para realização do exame Papanicolau, incluindo ausência de macas acessíveis, inadequação estrutural das unidades de saúde e despreparo das equipes profissionais.</w:t>
      </w:r>
    </w:p>
    <w:p w14:paraId="4EC8B2F6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A Organização Mundial da Saúde também reconhece que serviços de saúde sexual e reprodutiva frequentemente são inacessíveis às mulheres com deficiência em razão de barreiras físicas e institucionais persistentes.</w:t>
      </w:r>
    </w:p>
    <w:p w14:paraId="0486627C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A ausência de maca ginecológica acessível compromete diretamente o direito à prevenção, ao diagnóstico precoce e à dignidade humana, submetendo mulheres com deficiência a constrangimentos, exposição corporal inadequada e, em muitos casos, impossibilitando completamente a realização dos exames.</w:t>
      </w:r>
    </w:p>
    <w:p w14:paraId="327CDDBA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A Constituição Federal assegura o direito universal à saúde e à dignidade da pessoa humana. A Convenção Internacional sobre os Direitos das Pessoas com Deficiência, incorporada ao ordenamento jurídico brasileiro com status constitucional, determina que os Estados promovam acessibilidade e igualdade de acesso aos serviços de saúde.</w:t>
      </w:r>
    </w:p>
    <w:p w14:paraId="7B5308A0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lastRenderedPageBreak/>
        <w:t>A Lei Brasileira de Inclusão da Pessoa com Deficiência – LBI (Lei nº 13.146/2015) estabelece, em seus artigos 18 e seguintes, o dever do Poder Público de assegurar atenção integral à saúde da pessoa com deficiência em todos os níveis de complexidade, inclusive mediante garantia de acessibilidade nos serviços e equipamentos de saúde.</w:t>
      </w:r>
    </w:p>
    <w:p w14:paraId="3B7EDD15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A presente proposição não cria procedimento médico novo nem interfere em competência privativa da União, limitando-se a estabelecer normas de acessibilidade e proteção à saúde no âmbito estadual, matéria inserida na competência legislativa concorrente prevista no art. 24 da Constituição Federal.</w:t>
      </w:r>
    </w:p>
    <w:p w14:paraId="0CF44B52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A implementação de macas ginecológicas acessíveis representa medida concreta de inclusão, prevenção em saúde pública, combate à violência institucional e promoção da dignidade das mulheres com deficiência e mobilidade reduzida no Estado do Maranhão.</w:t>
      </w:r>
    </w:p>
    <w:p w14:paraId="12FA305B" w14:textId="77777777" w:rsidR="00042F1B" w:rsidRPr="00042F1B" w:rsidRDefault="00042F1B" w:rsidP="00042F1B">
      <w:pPr>
        <w:spacing w:before="100" w:beforeAutospacing="1" w:after="100" w:afterAutospacing="1" w:line="360" w:lineRule="auto"/>
        <w:ind w:firstLine="709"/>
        <w:rPr>
          <w:rFonts w:ascii="Times New Roman" w:hAnsi="Times New Roman"/>
        </w:rPr>
      </w:pPr>
      <w:r w:rsidRPr="00042F1B">
        <w:rPr>
          <w:rFonts w:ascii="Times New Roman" w:hAnsi="Times New Roman"/>
        </w:rPr>
        <w:t>Diante da relevância social da matéria, solicitamos o apoio dos nobres Parlamentares para aprovação deste Projeto de Lei.</w:t>
      </w:r>
    </w:p>
    <w:p w14:paraId="006CE56A" w14:textId="57C445AD" w:rsidR="001D0808" w:rsidRPr="001D0808" w:rsidRDefault="001D0808" w:rsidP="00C67E4E">
      <w:pPr>
        <w:rPr>
          <w:rFonts w:ascii="Times New Roman" w:eastAsia="Calibri" w:hAnsi="Times New Roman"/>
          <w:bCs/>
          <w:color w:val="231F20"/>
          <w:lang w:eastAsia="en-US"/>
        </w:rPr>
      </w:pPr>
      <w:r w:rsidRPr="001D0808">
        <w:rPr>
          <w:rFonts w:ascii="Times New Roman" w:hAnsi="Times New Roman"/>
          <w:b/>
        </w:rPr>
        <w:t xml:space="preserve">PLENÁRIO DEPUTADO “NAGIB </w:t>
      </w:r>
      <w:r w:rsidR="005312D2">
        <w:rPr>
          <w:rFonts w:ascii="Times New Roman" w:hAnsi="Times New Roman"/>
          <w:b/>
        </w:rPr>
        <w:t xml:space="preserve">  </w:t>
      </w:r>
      <w:r w:rsidRPr="001D0808">
        <w:rPr>
          <w:rFonts w:ascii="Times New Roman" w:hAnsi="Times New Roman"/>
          <w:b/>
        </w:rPr>
        <w:t>HAICKEL” DO PALÁCIO “MANUEL BECKMAN</w:t>
      </w:r>
      <w:r w:rsidRPr="005312D2">
        <w:rPr>
          <w:rFonts w:ascii="Times New Roman" w:hAnsi="Times New Roman"/>
          <w:b/>
        </w:rPr>
        <w:t>”</w:t>
      </w:r>
      <w:r w:rsidRPr="005312D2">
        <w:rPr>
          <w:rFonts w:ascii="Times New Roman" w:hAnsi="Times New Roman"/>
        </w:rPr>
        <w:t xml:space="preserve">, em </w:t>
      </w:r>
      <w:r w:rsidR="005312D2">
        <w:rPr>
          <w:rFonts w:ascii="Times New Roman" w:hAnsi="Times New Roman"/>
        </w:rPr>
        <w:t xml:space="preserve">13 </w:t>
      </w:r>
      <w:r w:rsidRPr="005312D2">
        <w:rPr>
          <w:rFonts w:ascii="Times New Roman" w:hAnsi="Times New Roman"/>
        </w:rPr>
        <w:t xml:space="preserve">de </w:t>
      </w:r>
      <w:r w:rsidR="005312D2">
        <w:rPr>
          <w:rFonts w:ascii="Times New Roman" w:hAnsi="Times New Roman"/>
        </w:rPr>
        <w:t xml:space="preserve">maio </w:t>
      </w:r>
      <w:r w:rsidRPr="005312D2">
        <w:rPr>
          <w:rFonts w:ascii="Times New Roman" w:hAnsi="Times New Roman"/>
        </w:rPr>
        <w:t>de 202</w:t>
      </w:r>
      <w:r w:rsidR="005312D2" w:rsidRPr="005312D2">
        <w:rPr>
          <w:rFonts w:ascii="Times New Roman" w:hAnsi="Times New Roman"/>
        </w:rPr>
        <w:t>6</w:t>
      </w:r>
      <w:r w:rsidRPr="005312D2">
        <w:rPr>
          <w:rFonts w:ascii="Times New Roman" w:hAnsi="Times New Roman"/>
        </w:rPr>
        <w:t>.</w:t>
      </w:r>
    </w:p>
    <w:p w14:paraId="07AE3928" w14:textId="77777777" w:rsidR="00042F1B" w:rsidRDefault="00042F1B" w:rsidP="004955A4">
      <w:pPr>
        <w:spacing w:after="120"/>
        <w:rPr>
          <w:rFonts w:ascii="Times New Roman" w:hAnsi="Times New Roman"/>
        </w:rPr>
      </w:pPr>
    </w:p>
    <w:p w14:paraId="22794E0E" w14:textId="77777777" w:rsidR="005312D2" w:rsidRPr="001D0808" w:rsidRDefault="005312D2" w:rsidP="001D0808">
      <w:pPr>
        <w:spacing w:after="120"/>
        <w:ind w:firstLine="708"/>
        <w:rPr>
          <w:rFonts w:ascii="Times New Roman" w:hAnsi="Times New Roman"/>
        </w:rPr>
      </w:pPr>
    </w:p>
    <w:p w14:paraId="4726F006" w14:textId="6F555122" w:rsidR="001D0808" w:rsidRPr="007150EB" w:rsidRDefault="001D0808" w:rsidP="001D0808">
      <w:pPr>
        <w:jc w:val="center"/>
        <w:rPr>
          <w:rFonts w:ascii="Times New Roman" w:hAnsi="Times New Roman"/>
          <w:b/>
          <w:bCs/>
        </w:rPr>
      </w:pPr>
      <w:r w:rsidRPr="007150EB">
        <w:rPr>
          <w:rFonts w:ascii="Times New Roman" w:hAnsi="Times New Roman"/>
          <w:b/>
          <w:bCs/>
        </w:rPr>
        <w:t>IRACEMA VALE</w:t>
      </w:r>
    </w:p>
    <w:p w14:paraId="3BD2ED2C" w14:textId="41F5BD8B" w:rsidR="001D0808" w:rsidRPr="001D0808" w:rsidRDefault="001D0808" w:rsidP="001D0808">
      <w:pPr>
        <w:jc w:val="center"/>
        <w:rPr>
          <w:rFonts w:ascii="Times New Roman" w:hAnsi="Times New Roman"/>
          <w:sz w:val="20"/>
          <w:szCs w:val="20"/>
        </w:rPr>
      </w:pPr>
      <w:r w:rsidRPr="001D0808">
        <w:rPr>
          <w:rFonts w:ascii="Times New Roman" w:hAnsi="Times New Roman"/>
        </w:rPr>
        <w:t>Deputad</w:t>
      </w:r>
      <w:r>
        <w:rPr>
          <w:rFonts w:ascii="Times New Roman" w:hAnsi="Times New Roman"/>
        </w:rPr>
        <w:t>a</w:t>
      </w:r>
      <w:r w:rsidRPr="001D0808">
        <w:rPr>
          <w:rFonts w:ascii="Times New Roman" w:hAnsi="Times New Roman"/>
        </w:rPr>
        <w:t xml:space="preserve"> Estadual</w:t>
      </w:r>
    </w:p>
    <w:p w14:paraId="25E18668" w14:textId="77777777" w:rsidR="001D0808" w:rsidRPr="001D0808" w:rsidRDefault="001D0808" w:rsidP="001D0808">
      <w:pPr>
        <w:tabs>
          <w:tab w:val="center" w:pos="4252"/>
          <w:tab w:val="right" w:pos="8504"/>
        </w:tabs>
        <w:ind w:firstLine="1134"/>
        <w:rPr>
          <w:rFonts w:eastAsia="Calibri" w:cs="Arial"/>
          <w:bCs/>
        </w:rPr>
      </w:pPr>
    </w:p>
    <w:p w14:paraId="7508DC25" w14:textId="77777777" w:rsidR="001D0808" w:rsidRPr="001D0808" w:rsidRDefault="001D0808" w:rsidP="001D0808">
      <w:pPr>
        <w:spacing w:line="360" w:lineRule="auto"/>
        <w:ind w:firstLine="851"/>
        <w:rPr>
          <w:rFonts w:ascii="Times New Roman" w:hAnsi="Times New Roman"/>
          <w:b/>
          <w:bCs/>
          <w:color w:val="000000"/>
        </w:rPr>
      </w:pPr>
    </w:p>
    <w:p w14:paraId="704F5BF2" w14:textId="77777777" w:rsidR="007E407B" w:rsidRDefault="007E407B" w:rsidP="007E407B">
      <w:pPr>
        <w:pStyle w:val="Cabealho1"/>
        <w:tabs>
          <w:tab w:val="left" w:pos="7797"/>
        </w:tabs>
        <w:jc w:val="center"/>
        <w:rPr>
          <w:rFonts w:ascii="Times New Roman" w:eastAsia="Times New Roman" w:hAnsi="Times New Roman" w:cs="Times New Roman"/>
        </w:rPr>
      </w:pPr>
    </w:p>
    <w:p w14:paraId="2D59EA4C" w14:textId="77777777" w:rsidR="001D0808" w:rsidRDefault="001D0808" w:rsidP="001D0808"/>
    <w:p w14:paraId="1E659F56" w14:textId="77777777" w:rsidR="00E857D9" w:rsidRDefault="00E857D9" w:rsidP="001D0808">
      <w:bookmarkStart w:id="1" w:name="_GoBack"/>
      <w:bookmarkEnd w:id="1"/>
    </w:p>
    <w:p w14:paraId="46014CB6" w14:textId="77777777" w:rsidR="00E857D9" w:rsidRDefault="00E857D9" w:rsidP="001D0808"/>
    <w:p w14:paraId="0F87C045" w14:textId="77777777" w:rsidR="00E857D9" w:rsidRDefault="00E857D9" w:rsidP="001D0808"/>
    <w:p w14:paraId="0B740417" w14:textId="77777777" w:rsidR="00E857D9" w:rsidRDefault="00E857D9" w:rsidP="001D0808"/>
    <w:p w14:paraId="76AD30E2" w14:textId="77777777" w:rsidR="00E857D9" w:rsidRDefault="00E857D9" w:rsidP="001D0808"/>
    <w:p w14:paraId="4AA05688" w14:textId="77777777" w:rsidR="00E857D9" w:rsidRDefault="00E857D9" w:rsidP="001D0808"/>
    <w:p w14:paraId="059FBF52" w14:textId="77777777" w:rsidR="00E857D9" w:rsidRDefault="00E857D9" w:rsidP="001D0808"/>
    <w:p w14:paraId="06A705AB" w14:textId="77777777" w:rsidR="00E857D9" w:rsidRDefault="00E857D9" w:rsidP="001D0808"/>
    <w:p w14:paraId="6C04C9F1" w14:textId="77777777" w:rsidR="00E857D9" w:rsidRDefault="00E857D9" w:rsidP="001D0808"/>
    <w:p w14:paraId="04B2B387" w14:textId="77777777" w:rsidR="001D0808" w:rsidRDefault="001D0808" w:rsidP="001D0808"/>
    <w:p w14:paraId="023D3F62" w14:textId="77777777" w:rsidR="001D0808" w:rsidRDefault="001D0808" w:rsidP="001D0808"/>
    <w:p w14:paraId="00A44F8E" w14:textId="77777777" w:rsidR="001D0808" w:rsidRDefault="001D0808" w:rsidP="001D0808"/>
    <w:p w14:paraId="495304DF" w14:textId="77777777" w:rsidR="007150EB" w:rsidRDefault="007150EB" w:rsidP="005312D2">
      <w:pPr>
        <w:spacing w:line="360" w:lineRule="auto"/>
        <w:rPr>
          <w:rFonts w:ascii="Times New Roman" w:hAnsi="Times New Roman"/>
          <w:b/>
        </w:rPr>
      </w:pPr>
    </w:p>
    <w:sectPr w:rsidR="007150EB" w:rsidSect="008852ED">
      <w:headerReference w:type="default" r:id="rId7"/>
      <w:footerReference w:type="default" r:id="rId8"/>
      <w:pgSz w:w="11906" w:h="16838"/>
      <w:pgMar w:top="2268" w:right="1274" w:bottom="1276" w:left="1701" w:header="0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47C30" w14:textId="77777777" w:rsidR="000B1EBA" w:rsidRDefault="000B1EBA" w:rsidP="00A55283">
      <w:r>
        <w:separator/>
      </w:r>
    </w:p>
  </w:endnote>
  <w:endnote w:type="continuationSeparator" w:id="0">
    <w:p w14:paraId="08DDC92B" w14:textId="77777777" w:rsidR="000B1EBA" w:rsidRDefault="000B1EBA" w:rsidP="00A5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9A2B4" w14:textId="77777777" w:rsidR="00A55283" w:rsidRDefault="00A55283">
    <w:pPr>
      <w:pStyle w:val="Rodap"/>
    </w:pPr>
  </w:p>
  <w:p w14:paraId="523387FD" w14:textId="77777777" w:rsidR="00A55283" w:rsidRDefault="00A552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137F8" w14:textId="77777777" w:rsidR="000B1EBA" w:rsidRDefault="000B1EBA" w:rsidP="00A55283">
      <w:r>
        <w:separator/>
      </w:r>
    </w:p>
  </w:footnote>
  <w:footnote w:type="continuationSeparator" w:id="0">
    <w:p w14:paraId="1755F830" w14:textId="77777777" w:rsidR="000B1EBA" w:rsidRDefault="000B1EBA" w:rsidP="00A55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68362" w14:textId="3F50B7C1" w:rsidR="00E37C5E" w:rsidRPr="00B76C6D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ind w:right="360"/>
      <w:jc w:val="center"/>
      <w:rPr>
        <w:b/>
        <w:color w:val="000080"/>
        <w:lang w:bidi="pt-BR"/>
      </w:rPr>
    </w:pPr>
    <w:bookmarkStart w:id="2" w:name="_Hlk13210416"/>
    <w:r w:rsidRPr="00B76C6D">
      <w:rPr>
        <w:noProof/>
      </w:rPr>
      <w:drawing>
        <wp:inline distT="0" distB="0" distL="0" distR="0" wp14:anchorId="658DBCF2" wp14:editId="6B3DDCE9">
          <wp:extent cx="952500" cy="819150"/>
          <wp:effectExtent l="0" t="0" r="0" b="0"/>
          <wp:docPr id="517265147" name="Imagem 517265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3AF68E" w14:textId="77777777" w:rsidR="00E37C5E" w:rsidRPr="00B76C6D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2"/>
        <w:szCs w:val="22"/>
        <w:lang w:bidi="pt-BR"/>
      </w:rPr>
    </w:pPr>
    <w:r w:rsidRPr="00B76C6D">
      <w:rPr>
        <w:rFonts w:ascii="Century Gothic" w:hAnsi="Century Gothic"/>
        <w:b/>
        <w:sz w:val="22"/>
        <w:szCs w:val="22"/>
        <w:lang w:bidi="pt-BR"/>
      </w:rPr>
      <w:t>ESTADO DO MARANHÃO</w:t>
    </w:r>
  </w:p>
  <w:p w14:paraId="67118904" w14:textId="77777777" w:rsidR="00E37C5E" w:rsidRPr="00B76C6D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2"/>
        <w:szCs w:val="22"/>
        <w:lang w:bidi="pt-BR"/>
      </w:rPr>
    </w:pPr>
    <w:r w:rsidRPr="00B76C6D">
      <w:rPr>
        <w:rFonts w:ascii="Century Gothic" w:hAnsi="Century Gothic"/>
        <w:b/>
        <w:sz w:val="22"/>
        <w:szCs w:val="22"/>
        <w:lang w:bidi="pt-BR"/>
      </w:rPr>
      <w:t>ASSEMBLEIA LEGISLATIVA DO MARANHÃO</w:t>
    </w:r>
  </w:p>
  <w:bookmarkEnd w:id="2"/>
  <w:p w14:paraId="1D2E5FB8" w14:textId="16BA60CA" w:rsidR="00A55283" w:rsidRPr="001D0808" w:rsidRDefault="001D0808" w:rsidP="001D0808">
    <w:pPr>
      <w:pStyle w:val="Cabealho"/>
      <w:jc w:val="center"/>
      <w:rPr>
        <w:b/>
        <w:bCs/>
      </w:rPr>
    </w:pPr>
    <w:r w:rsidRPr="001D0808">
      <w:rPr>
        <w:b/>
        <w:bCs/>
      </w:rPr>
      <w:t>GABINETE DA DEPUTADA IRACEMA VALE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277A81"/>
    <w:multiLevelType w:val="hybridMultilevel"/>
    <w:tmpl w:val="076E700E"/>
    <w:lvl w:ilvl="0" w:tplc="21AE8108">
      <w:start w:val="1"/>
      <w:numFmt w:val="upperRoman"/>
      <w:lvlText w:val="%1"/>
      <w:lvlJc w:val="left"/>
      <w:pPr>
        <w:ind w:left="2850" w:hanging="1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E0A7F98">
      <w:numFmt w:val="bullet"/>
      <w:lvlText w:val="•"/>
      <w:lvlJc w:val="left"/>
      <w:pPr>
        <w:ind w:left="3565" w:hanging="135"/>
      </w:pPr>
      <w:rPr>
        <w:rFonts w:hint="default"/>
        <w:lang w:val="pt-PT" w:eastAsia="en-US" w:bidi="ar-SA"/>
      </w:rPr>
    </w:lvl>
    <w:lvl w:ilvl="2" w:tplc="580895BE">
      <w:numFmt w:val="bullet"/>
      <w:lvlText w:val="•"/>
      <w:lvlJc w:val="left"/>
      <w:pPr>
        <w:ind w:left="4270" w:hanging="135"/>
      </w:pPr>
      <w:rPr>
        <w:rFonts w:hint="default"/>
        <w:lang w:val="pt-PT" w:eastAsia="en-US" w:bidi="ar-SA"/>
      </w:rPr>
    </w:lvl>
    <w:lvl w:ilvl="3" w:tplc="1B3AC5E4">
      <w:numFmt w:val="bullet"/>
      <w:lvlText w:val="•"/>
      <w:lvlJc w:val="left"/>
      <w:pPr>
        <w:ind w:left="4975" w:hanging="135"/>
      </w:pPr>
      <w:rPr>
        <w:rFonts w:hint="default"/>
        <w:lang w:val="pt-PT" w:eastAsia="en-US" w:bidi="ar-SA"/>
      </w:rPr>
    </w:lvl>
    <w:lvl w:ilvl="4" w:tplc="6FD6C72C">
      <w:numFmt w:val="bullet"/>
      <w:lvlText w:val="•"/>
      <w:lvlJc w:val="left"/>
      <w:pPr>
        <w:ind w:left="5680" w:hanging="135"/>
      </w:pPr>
      <w:rPr>
        <w:rFonts w:hint="default"/>
        <w:lang w:val="pt-PT" w:eastAsia="en-US" w:bidi="ar-SA"/>
      </w:rPr>
    </w:lvl>
    <w:lvl w:ilvl="5" w:tplc="93D6EC86">
      <w:numFmt w:val="bullet"/>
      <w:lvlText w:val="•"/>
      <w:lvlJc w:val="left"/>
      <w:pPr>
        <w:ind w:left="6385" w:hanging="135"/>
      </w:pPr>
      <w:rPr>
        <w:rFonts w:hint="default"/>
        <w:lang w:val="pt-PT" w:eastAsia="en-US" w:bidi="ar-SA"/>
      </w:rPr>
    </w:lvl>
    <w:lvl w:ilvl="6" w:tplc="67965174">
      <w:numFmt w:val="bullet"/>
      <w:lvlText w:val="•"/>
      <w:lvlJc w:val="left"/>
      <w:pPr>
        <w:ind w:left="7090" w:hanging="135"/>
      </w:pPr>
      <w:rPr>
        <w:rFonts w:hint="default"/>
        <w:lang w:val="pt-PT" w:eastAsia="en-US" w:bidi="ar-SA"/>
      </w:rPr>
    </w:lvl>
    <w:lvl w:ilvl="7" w:tplc="62BE95AA">
      <w:numFmt w:val="bullet"/>
      <w:lvlText w:val="•"/>
      <w:lvlJc w:val="left"/>
      <w:pPr>
        <w:ind w:left="7795" w:hanging="135"/>
      </w:pPr>
      <w:rPr>
        <w:rFonts w:hint="default"/>
        <w:lang w:val="pt-PT" w:eastAsia="en-US" w:bidi="ar-SA"/>
      </w:rPr>
    </w:lvl>
    <w:lvl w:ilvl="8" w:tplc="34E6E126">
      <w:numFmt w:val="bullet"/>
      <w:lvlText w:val="•"/>
      <w:lvlJc w:val="left"/>
      <w:pPr>
        <w:ind w:left="8500" w:hanging="13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83"/>
    <w:rsid w:val="00042F1B"/>
    <w:rsid w:val="000448C0"/>
    <w:rsid w:val="0005132B"/>
    <w:rsid w:val="00063E20"/>
    <w:rsid w:val="000B1EBA"/>
    <w:rsid w:val="000B5DFE"/>
    <w:rsid w:val="000D0B48"/>
    <w:rsid w:val="000E0B51"/>
    <w:rsid w:val="000F6ECC"/>
    <w:rsid w:val="001466E9"/>
    <w:rsid w:val="001660E3"/>
    <w:rsid w:val="0017260C"/>
    <w:rsid w:val="001A02AA"/>
    <w:rsid w:val="001D0808"/>
    <w:rsid w:val="001E7949"/>
    <w:rsid w:val="00202A90"/>
    <w:rsid w:val="00223A6B"/>
    <w:rsid w:val="002D7F01"/>
    <w:rsid w:val="002F7889"/>
    <w:rsid w:val="003944F8"/>
    <w:rsid w:val="003E07DF"/>
    <w:rsid w:val="00402539"/>
    <w:rsid w:val="00402BB3"/>
    <w:rsid w:val="00406519"/>
    <w:rsid w:val="00435971"/>
    <w:rsid w:val="00440A29"/>
    <w:rsid w:val="00444970"/>
    <w:rsid w:val="00461688"/>
    <w:rsid w:val="0046245A"/>
    <w:rsid w:val="004642CA"/>
    <w:rsid w:val="00466FC4"/>
    <w:rsid w:val="00467A3B"/>
    <w:rsid w:val="00486D36"/>
    <w:rsid w:val="004955A4"/>
    <w:rsid w:val="00496C95"/>
    <w:rsid w:val="004A213C"/>
    <w:rsid w:val="004D065A"/>
    <w:rsid w:val="004D1169"/>
    <w:rsid w:val="005312D2"/>
    <w:rsid w:val="00575485"/>
    <w:rsid w:val="005A3477"/>
    <w:rsid w:val="005F04BD"/>
    <w:rsid w:val="005F2D90"/>
    <w:rsid w:val="00607552"/>
    <w:rsid w:val="00613DA8"/>
    <w:rsid w:val="00621C05"/>
    <w:rsid w:val="006265E4"/>
    <w:rsid w:val="006607E5"/>
    <w:rsid w:val="00665A20"/>
    <w:rsid w:val="006718F0"/>
    <w:rsid w:val="00672438"/>
    <w:rsid w:val="00695281"/>
    <w:rsid w:val="006B11DB"/>
    <w:rsid w:val="006E199C"/>
    <w:rsid w:val="006F77A9"/>
    <w:rsid w:val="00700407"/>
    <w:rsid w:val="00707BDD"/>
    <w:rsid w:val="00707D8E"/>
    <w:rsid w:val="007150EB"/>
    <w:rsid w:val="00717F2A"/>
    <w:rsid w:val="007316EC"/>
    <w:rsid w:val="00736439"/>
    <w:rsid w:val="00743EED"/>
    <w:rsid w:val="007454BE"/>
    <w:rsid w:val="00791D61"/>
    <w:rsid w:val="007932CB"/>
    <w:rsid w:val="00793AF0"/>
    <w:rsid w:val="007E407B"/>
    <w:rsid w:val="007E6920"/>
    <w:rsid w:val="007F4051"/>
    <w:rsid w:val="007F5C89"/>
    <w:rsid w:val="00805E22"/>
    <w:rsid w:val="00814D6B"/>
    <w:rsid w:val="00846504"/>
    <w:rsid w:val="008852ED"/>
    <w:rsid w:val="008A5E0B"/>
    <w:rsid w:val="008B49FD"/>
    <w:rsid w:val="008F0F6D"/>
    <w:rsid w:val="0098218B"/>
    <w:rsid w:val="009B1B3C"/>
    <w:rsid w:val="009B38D8"/>
    <w:rsid w:val="009B3A22"/>
    <w:rsid w:val="009C124C"/>
    <w:rsid w:val="009C51C4"/>
    <w:rsid w:val="009C6E39"/>
    <w:rsid w:val="009F3012"/>
    <w:rsid w:val="009F3D13"/>
    <w:rsid w:val="009F71AD"/>
    <w:rsid w:val="00A01514"/>
    <w:rsid w:val="00A55283"/>
    <w:rsid w:val="00AE72EE"/>
    <w:rsid w:val="00B419A6"/>
    <w:rsid w:val="00B45E27"/>
    <w:rsid w:val="00B8606A"/>
    <w:rsid w:val="00B87814"/>
    <w:rsid w:val="00B911E4"/>
    <w:rsid w:val="00BB02D0"/>
    <w:rsid w:val="00BF69D9"/>
    <w:rsid w:val="00C1128F"/>
    <w:rsid w:val="00C167B8"/>
    <w:rsid w:val="00C55014"/>
    <w:rsid w:val="00C62C5B"/>
    <w:rsid w:val="00C63558"/>
    <w:rsid w:val="00C67E4E"/>
    <w:rsid w:val="00C8520E"/>
    <w:rsid w:val="00C85987"/>
    <w:rsid w:val="00CA4350"/>
    <w:rsid w:val="00CD3C56"/>
    <w:rsid w:val="00D01A41"/>
    <w:rsid w:val="00D020AA"/>
    <w:rsid w:val="00D0400D"/>
    <w:rsid w:val="00D402C2"/>
    <w:rsid w:val="00D40E02"/>
    <w:rsid w:val="00D87A1C"/>
    <w:rsid w:val="00DA2DDB"/>
    <w:rsid w:val="00DE2633"/>
    <w:rsid w:val="00E02A3A"/>
    <w:rsid w:val="00E03CEE"/>
    <w:rsid w:val="00E2662E"/>
    <w:rsid w:val="00E27515"/>
    <w:rsid w:val="00E37C5E"/>
    <w:rsid w:val="00E63440"/>
    <w:rsid w:val="00E646C2"/>
    <w:rsid w:val="00E715C0"/>
    <w:rsid w:val="00E7653D"/>
    <w:rsid w:val="00E800B1"/>
    <w:rsid w:val="00E857D9"/>
    <w:rsid w:val="00E871F0"/>
    <w:rsid w:val="00EE7DC7"/>
    <w:rsid w:val="00F0082A"/>
    <w:rsid w:val="00F34C8F"/>
    <w:rsid w:val="00F57E4C"/>
    <w:rsid w:val="00F60A8E"/>
    <w:rsid w:val="00F65B1C"/>
    <w:rsid w:val="00F67FC1"/>
    <w:rsid w:val="00F77427"/>
    <w:rsid w:val="00F9540A"/>
    <w:rsid w:val="00FA3BE3"/>
    <w:rsid w:val="00FA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2960F"/>
  <w15:chartTrackingRefBased/>
  <w15:docId w15:val="{942D4F45-7B77-4FB8-80A9-74D12EC2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427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Cabealho1">
    <w:name w:val="heading 1"/>
    <w:basedOn w:val="Normal"/>
    <w:next w:val="Normal"/>
    <w:link w:val="Cabealho1Carter"/>
    <w:rsid w:val="007E407B"/>
    <w:pPr>
      <w:keepNext/>
      <w:keepLines/>
      <w:spacing w:line="276" w:lineRule="auto"/>
      <w:outlineLvl w:val="0"/>
    </w:pPr>
    <w:rPr>
      <w:rFonts w:ascii="Arial Narrow" w:eastAsia="Arial Narrow" w:hAnsi="Arial Narrow" w:cs="Arial Narrow"/>
      <w:b/>
      <w:smallCaps/>
    </w:rPr>
  </w:style>
  <w:style w:type="paragraph" w:styleId="Cabealho4">
    <w:name w:val="heading 4"/>
    <w:basedOn w:val="Normal"/>
    <w:next w:val="Normal"/>
    <w:link w:val="Cabealho4Carter"/>
    <w:uiPriority w:val="9"/>
    <w:semiHidden/>
    <w:unhideWhenUsed/>
    <w:qFormat/>
    <w:rsid w:val="0073643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A55283"/>
  </w:style>
  <w:style w:type="paragraph" w:styleId="Rodap">
    <w:name w:val="footer"/>
    <w:basedOn w:val="Normal"/>
    <w:link w:val="RodapCarte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A55283"/>
  </w:style>
  <w:style w:type="paragraph" w:styleId="NormalWeb">
    <w:name w:val="Normal (Web)"/>
    <w:basedOn w:val="Normal"/>
    <w:uiPriority w:val="99"/>
    <w:unhideWhenUsed/>
    <w:rsid w:val="00C62C5B"/>
    <w:pPr>
      <w:spacing w:before="225" w:after="225" w:line="270" w:lineRule="atLeast"/>
      <w:jc w:val="left"/>
    </w:pPr>
    <w:rPr>
      <w:rFonts w:ascii="Times New Roman" w:hAnsi="Times New Roman"/>
      <w:sz w:val="20"/>
      <w:szCs w:val="20"/>
    </w:rPr>
  </w:style>
  <w:style w:type="paragraph" w:styleId="SemEspaamento">
    <w:name w:val="No Spacing"/>
    <w:uiPriority w:val="1"/>
    <w:qFormat/>
    <w:rsid w:val="004D1169"/>
    <w:pPr>
      <w:spacing w:after="0" w:line="240" w:lineRule="auto"/>
    </w:pPr>
  </w:style>
  <w:style w:type="character" w:styleId="Forte">
    <w:name w:val="Strong"/>
    <w:basedOn w:val="Tipodeletrapredefinidodopargrafo"/>
    <w:uiPriority w:val="22"/>
    <w:qFormat/>
    <w:rsid w:val="004D1169"/>
    <w:rPr>
      <w:b/>
      <w:bCs/>
    </w:rPr>
  </w:style>
  <w:style w:type="paragraph" w:customStyle="1" w:styleId="yiv8227551573msonormal">
    <w:name w:val="yiv8227551573msonormal"/>
    <w:basedOn w:val="Normal"/>
    <w:rsid w:val="00AE72E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Corpodetexto">
    <w:name w:val="Body Text"/>
    <w:basedOn w:val="Normal"/>
    <w:link w:val="CorpodetextoCarter"/>
    <w:uiPriority w:val="1"/>
    <w:qFormat/>
    <w:rsid w:val="00461688"/>
    <w:pPr>
      <w:widowControl w:val="0"/>
      <w:autoSpaceDE w:val="0"/>
      <w:autoSpaceDN w:val="0"/>
      <w:jc w:val="left"/>
    </w:pPr>
    <w:rPr>
      <w:rFonts w:ascii="Times New Roman" w:hAnsi="Times New Roman"/>
      <w:sz w:val="28"/>
      <w:szCs w:val="28"/>
      <w:lang w:val="pt-PT" w:eastAsia="en-US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461688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basedOn w:val="Normal"/>
    <w:uiPriority w:val="1"/>
    <w:qFormat/>
    <w:rsid w:val="00461688"/>
    <w:pPr>
      <w:widowControl w:val="0"/>
      <w:autoSpaceDE w:val="0"/>
      <w:autoSpaceDN w:val="0"/>
      <w:spacing w:before="119"/>
      <w:ind w:left="2129" w:hanging="136"/>
    </w:pPr>
    <w:rPr>
      <w:rFonts w:ascii="Times New Roman" w:hAnsi="Times New Roman"/>
      <w:sz w:val="22"/>
      <w:szCs w:val="22"/>
      <w:lang w:val="pt-PT" w:eastAsia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E02A3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E02A3A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E02A3A"/>
    <w:rPr>
      <w:rFonts w:ascii="Arial" w:eastAsia="Times New Roman" w:hAnsi="Arial" w:cs="Times New Roman"/>
      <w:sz w:val="20"/>
      <w:szCs w:val="20"/>
      <w:lang w:eastAsia="pt-BR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E02A3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E02A3A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02A3A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02A3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Standard">
    <w:name w:val="Standard"/>
    <w:rsid w:val="0005132B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Cabealho1Carter">
    <w:name w:val="Cabeçalho 1 Caráter"/>
    <w:basedOn w:val="Tipodeletrapredefinidodopargrafo"/>
    <w:link w:val="Cabealho1"/>
    <w:rsid w:val="007E407B"/>
    <w:rPr>
      <w:rFonts w:ascii="Arial Narrow" w:eastAsia="Arial Narrow" w:hAnsi="Arial Narrow" w:cs="Arial Narrow"/>
      <w:b/>
      <w:smallCaps/>
      <w:sz w:val="24"/>
      <w:szCs w:val="24"/>
      <w:lang w:eastAsia="pt-BR"/>
    </w:rPr>
  </w:style>
  <w:style w:type="character" w:customStyle="1" w:styleId="Cabealho4Carter">
    <w:name w:val="Cabeçalho 4 Caráter"/>
    <w:basedOn w:val="Tipodeletrapredefinidodopargrafo"/>
    <w:link w:val="Cabealho4"/>
    <w:uiPriority w:val="9"/>
    <w:semiHidden/>
    <w:rsid w:val="0073643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974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Ciro Neto</dc:creator>
  <cp:keywords/>
  <dc:description/>
  <cp:lastModifiedBy>Adv Gustavo Bastos</cp:lastModifiedBy>
  <cp:revision>2</cp:revision>
  <cp:lastPrinted>2026-05-20T12:06:00Z</cp:lastPrinted>
  <dcterms:created xsi:type="dcterms:W3CDTF">2026-05-20T15:43:00Z</dcterms:created>
  <dcterms:modified xsi:type="dcterms:W3CDTF">2026-05-20T15:43:00Z</dcterms:modified>
</cp:coreProperties>
</file>