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F595F" w14:textId="77777777" w:rsidR="007676AE" w:rsidRPr="00B33F0D" w:rsidRDefault="00307EF2">
      <w:pPr>
        <w:jc w:val="center"/>
        <w:rPr>
          <w:rFonts w:ascii="Times New Roman" w:hAnsi="Times New Roman" w:cs="Times New Roman"/>
        </w:rPr>
      </w:pPr>
      <w:r w:rsidRPr="00B33F0D">
        <w:rPr>
          <w:rFonts w:ascii="Times New Roman" w:hAnsi="Times New Roman" w:cs="Times New Roman"/>
          <w:b/>
          <w:bCs/>
        </w:rPr>
        <w:t>ASSEMBLEIA LEGISLATIVA DO ESTADO DO MARANHÃO</w:t>
      </w:r>
    </w:p>
    <w:p w14:paraId="006F5960" w14:textId="77777777" w:rsidR="007676AE" w:rsidRPr="00B33F0D" w:rsidRDefault="00307EF2">
      <w:pPr>
        <w:spacing w:after="360"/>
        <w:jc w:val="center"/>
        <w:rPr>
          <w:rFonts w:ascii="Times New Roman" w:hAnsi="Times New Roman" w:cs="Times New Roman"/>
        </w:rPr>
      </w:pPr>
      <w:r w:rsidRPr="00B33F0D">
        <w:rPr>
          <w:rFonts w:ascii="Times New Roman" w:hAnsi="Times New Roman" w:cs="Times New Roman"/>
        </w:rPr>
        <w:t>CONSULTORIA LEGISLATIVA</w:t>
      </w:r>
    </w:p>
    <w:p w14:paraId="006F5961" w14:textId="77777777" w:rsidR="007676AE" w:rsidRPr="00B33F0D" w:rsidRDefault="00307EF2">
      <w:pPr>
        <w:spacing w:before="120" w:after="360"/>
        <w:jc w:val="center"/>
        <w:rPr>
          <w:rFonts w:ascii="Times New Roman" w:hAnsi="Times New Roman" w:cs="Times New Roman"/>
        </w:rPr>
      </w:pPr>
      <w:r w:rsidRPr="00B33F0D">
        <w:rPr>
          <w:rFonts w:ascii="Times New Roman" w:hAnsi="Times New Roman" w:cs="Times New Roman"/>
        </w:rPr>
        <w:t>INDICAÇÃO Nº _________ / 2026</w:t>
      </w:r>
    </w:p>
    <w:p w14:paraId="006F5962" w14:textId="77777777" w:rsidR="007676AE" w:rsidRPr="00B33F0D" w:rsidRDefault="00307EF2">
      <w:pPr>
        <w:spacing w:after="480"/>
        <w:ind w:left="5103"/>
        <w:jc w:val="both"/>
        <w:rPr>
          <w:rFonts w:ascii="Times New Roman" w:hAnsi="Times New Roman" w:cs="Times New Roman"/>
        </w:rPr>
      </w:pPr>
      <w:r w:rsidRPr="00B33F0D">
        <w:rPr>
          <w:rFonts w:ascii="Times New Roman" w:hAnsi="Times New Roman" w:cs="Times New Roman"/>
          <w:i/>
          <w:iCs/>
        </w:rPr>
        <w:t>Indica ao Poder Executivo, por intermédio da Secretaria de Estado da Fazenda – SEFAZ/MA, a conveniência e a oportunidade de alteração da Portaria nº 433, de 16 de setembro de 2015 – GABIN/SEFAZ, para instituir a ativação e a liberação provisórias de inscrição estadual no Cadastro de Contribuintes do ICMS – CAD/ICMS, nos termos do anteprojeto anexo.</w:t>
      </w:r>
    </w:p>
    <w:p w14:paraId="006F5963" w14:textId="305E08E3" w:rsidR="007676AE" w:rsidRPr="00B33F0D" w:rsidRDefault="00307EF2">
      <w:pPr>
        <w:spacing w:after="360" w:line="276" w:lineRule="auto"/>
        <w:rPr>
          <w:rFonts w:ascii="Times New Roman" w:hAnsi="Times New Roman" w:cs="Times New Roman"/>
        </w:rPr>
      </w:pPr>
      <w:r w:rsidRPr="00B33F0D">
        <w:rPr>
          <w:rFonts w:ascii="Times New Roman" w:hAnsi="Times New Roman" w:cs="Times New Roman"/>
        </w:rPr>
        <w:t>Senhor</w:t>
      </w:r>
      <w:r w:rsidR="00B33F0D">
        <w:rPr>
          <w:rFonts w:ascii="Times New Roman" w:hAnsi="Times New Roman" w:cs="Times New Roman"/>
        </w:rPr>
        <w:t>a</w:t>
      </w:r>
      <w:r w:rsidRPr="00B33F0D">
        <w:rPr>
          <w:rFonts w:ascii="Times New Roman" w:hAnsi="Times New Roman" w:cs="Times New Roman"/>
        </w:rPr>
        <w:t xml:space="preserve"> Presidente,</w:t>
      </w:r>
    </w:p>
    <w:p w14:paraId="006F5964" w14:textId="77777777" w:rsidR="007676AE" w:rsidRPr="00B33F0D" w:rsidRDefault="00307EF2">
      <w:pPr>
        <w:spacing w:after="240" w:line="276" w:lineRule="auto"/>
        <w:ind w:firstLine="1418"/>
        <w:jc w:val="both"/>
        <w:rPr>
          <w:rFonts w:ascii="Times New Roman" w:hAnsi="Times New Roman" w:cs="Times New Roman"/>
        </w:rPr>
      </w:pPr>
      <w:r w:rsidRPr="00B33F0D">
        <w:rPr>
          <w:rFonts w:ascii="Times New Roman" w:hAnsi="Times New Roman" w:cs="Times New Roman"/>
        </w:rPr>
        <w:t xml:space="preserve">Nos termos do art. 152 do Regimento Interno desta Casa Legislativa, solicita-se o encaminhamento da presente Indicação ao </w:t>
      </w:r>
      <w:r w:rsidRPr="00B33F0D">
        <w:rPr>
          <w:rFonts w:ascii="Times New Roman" w:hAnsi="Times New Roman" w:cs="Times New Roman"/>
          <w:b/>
          <w:bCs/>
        </w:rPr>
        <w:t>Excelentíssimo Senhor Governador do Estado do Maranhão</w:t>
      </w:r>
      <w:r w:rsidRPr="00B33F0D">
        <w:rPr>
          <w:rFonts w:ascii="Times New Roman" w:hAnsi="Times New Roman" w:cs="Times New Roman"/>
        </w:rPr>
        <w:t xml:space="preserve">, com remessa à </w:t>
      </w:r>
      <w:r w:rsidRPr="00B33F0D">
        <w:rPr>
          <w:rFonts w:ascii="Times New Roman" w:hAnsi="Times New Roman" w:cs="Times New Roman"/>
          <w:b/>
          <w:bCs/>
        </w:rPr>
        <w:t>Secretaria de Estado da Fazenda – SEFAZ/MA</w:t>
      </w:r>
      <w:r w:rsidRPr="00B33F0D">
        <w:rPr>
          <w:rFonts w:ascii="Times New Roman" w:hAnsi="Times New Roman" w:cs="Times New Roman"/>
        </w:rPr>
        <w:t>, com o objetivo de sugerir a adoção das providências normativas necessárias à alteração da Portaria nº 433, de 16 de setembro de 2015 – GABIN/SEFAZ, que disciplina a mudança da situação da empresa em início de atividade no Cadastro de Contribuintes do ICMS – CAD/ICMS.</w:t>
      </w:r>
    </w:p>
    <w:p w14:paraId="287E18C8" w14:textId="77777777" w:rsidR="001D68AB" w:rsidRPr="00B33F0D" w:rsidRDefault="00307EF2">
      <w:pPr>
        <w:spacing w:after="240" w:line="276" w:lineRule="auto"/>
        <w:ind w:firstLine="1418"/>
        <w:jc w:val="both"/>
        <w:rPr>
          <w:rFonts w:ascii="Times New Roman" w:hAnsi="Times New Roman" w:cs="Times New Roman"/>
        </w:rPr>
      </w:pPr>
      <w:r w:rsidRPr="00B33F0D">
        <w:rPr>
          <w:rFonts w:ascii="Times New Roman" w:hAnsi="Times New Roman" w:cs="Times New Roman"/>
        </w:rPr>
        <w:t xml:space="preserve">A proposição decorre de representação formalmente apresentada pelo </w:t>
      </w:r>
      <w:r w:rsidRPr="00B33F0D">
        <w:rPr>
          <w:rFonts w:ascii="Times New Roman" w:hAnsi="Times New Roman" w:cs="Times New Roman"/>
          <w:b/>
          <w:bCs/>
        </w:rPr>
        <w:t>Sindicato dos Contadores de Imperatriz e Região – SINDICONTI</w:t>
      </w:r>
      <w:r w:rsidRPr="00B33F0D">
        <w:rPr>
          <w:rFonts w:ascii="Times New Roman" w:hAnsi="Times New Roman" w:cs="Times New Roman"/>
        </w:rPr>
        <w:t xml:space="preserve">, entidade representativa da classe contábil no âmbito da Região Tocantina, que submeteu ao Secretário de Estado da Fazenda, em 15 de abril de 2026, proposta técnica de aprimoramento da referida Portaria, com vistas a conciliar o rigor do controle fiscal com a celeridade dos procedimentos de abertura e legalização de empresas no Estado do Maranhão. </w:t>
      </w:r>
    </w:p>
    <w:p w14:paraId="006F5965" w14:textId="1CDB69FF" w:rsidR="007676AE" w:rsidRPr="00B33F0D" w:rsidRDefault="00307EF2">
      <w:pPr>
        <w:spacing w:after="240" w:line="276" w:lineRule="auto"/>
        <w:ind w:firstLine="1418"/>
        <w:jc w:val="both"/>
        <w:rPr>
          <w:rFonts w:ascii="Times New Roman" w:hAnsi="Times New Roman" w:cs="Times New Roman"/>
        </w:rPr>
      </w:pPr>
      <w:r w:rsidRPr="00B33F0D">
        <w:rPr>
          <w:rFonts w:ascii="Times New Roman" w:hAnsi="Times New Roman" w:cs="Times New Roman"/>
        </w:rPr>
        <w:t>A demanda fundamenta-se em diagnóstico operacional apresentado pela classe contábil, segundo o qual as atuais exigências documentais têm gerado atrasos na emissão de notas fiscais e no início das operações comerciais, com reflexos adversos sobre a geração de emprego e renda e sobre a própria arrecadação estadual.</w:t>
      </w:r>
    </w:p>
    <w:p w14:paraId="006F5966" w14:textId="20B6BD98" w:rsidR="007676AE" w:rsidRPr="00B33F0D" w:rsidRDefault="00307EF2">
      <w:pPr>
        <w:spacing w:after="240" w:line="276" w:lineRule="auto"/>
        <w:ind w:firstLine="1418"/>
        <w:jc w:val="both"/>
        <w:rPr>
          <w:rFonts w:ascii="Times New Roman" w:hAnsi="Times New Roman" w:cs="Times New Roman"/>
        </w:rPr>
      </w:pPr>
      <w:r w:rsidRPr="00B33F0D">
        <w:rPr>
          <w:rFonts w:ascii="Times New Roman" w:hAnsi="Times New Roman" w:cs="Times New Roman"/>
        </w:rPr>
        <w:t>A análise técnica realizada por esta Consultoria Legislativa</w:t>
      </w:r>
      <w:r w:rsidR="00B33F0D">
        <w:rPr>
          <w:rFonts w:ascii="Times New Roman" w:hAnsi="Times New Roman" w:cs="Times New Roman"/>
        </w:rPr>
        <w:t xml:space="preserve"> da Assemblei Legislativa do Estado do Maranhão</w:t>
      </w:r>
      <w:r w:rsidRPr="00B33F0D">
        <w:rPr>
          <w:rFonts w:ascii="Times New Roman" w:hAnsi="Times New Roman" w:cs="Times New Roman"/>
        </w:rPr>
        <w:t xml:space="preserve"> identifica a pertinência e o relevante interesse público subjacente à proposta, na medida em que: (i) está alinhada aos princípios da eficiência administrativa e da livre iniciativa, consagrados no art. 37, </w:t>
      </w:r>
      <w:r w:rsidRPr="00B33F0D">
        <w:rPr>
          <w:rFonts w:ascii="Times New Roman" w:hAnsi="Times New Roman" w:cs="Times New Roman"/>
          <w:i/>
          <w:iCs/>
        </w:rPr>
        <w:t>caput</w:t>
      </w:r>
      <w:r w:rsidRPr="00B33F0D">
        <w:rPr>
          <w:rFonts w:ascii="Times New Roman" w:hAnsi="Times New Roman" w:cs="Times New Roman"/>
        </w:rPr>
        <w:t>, e no art. 170, ambos da Constituição Federal; (ii) encontra paralelo nas diretrizes da Lei Federal nº 13.874, de 20 de setembro de 2019 – Lei de Liberdade Econômica, cuja incorporação ao regime cadastral estadual foi parcialmente promovida pela Portaria nº 595, de 2019; e (iii) preserva, com as salvaguardas técnicas adiante detalhadas, a integridade do controle tributário e do licenciamento ambiental no Estado.</w:t>
      </w:r>
    </w:p>
    <w:p w14:paraId="006F5967" w14:textId="77777777" w:rsidR="007676AE" w:rsidRPr="00B33F0D" w:rsidRDefault="00307EF2">
      <w:pPr>
        <w:spacing w:after="240" w:line="276" w:lineRule="auto"/>
        <w:ind w:firstLine="1418"/>
        <w:jc w:val="both"/>
        <w:rPr>
          <w:rFonts w:ascii="Times New Roman" w:hAnsi="Times New Roman" w:cs="Times New Roman"/>
        </w:rPr>
      </w:pPr>
      <w:r w:rsidRPr="00B33F0D">
        <w:rPr>
          <w:rFonts w:ascii="Times New Roman" w:hAnsi="Times New Roman" w:cs="Times New Roman"/>
        </w:rPr>
        <w:lastRenderedPageBreak/>
        <w:t>Cumpre destacar que a matéria objeto desta sugestão insere-se no âmbito da competência regulamentar da Administração Fazendária, nos termos do art. 62, § 3º, combinado com o art. 66, § 6º, ambos da Lei Estadual nº 7.799, de 19 de dezembro de 2002 – Código Tributário Estadual. Por essa razão, a Indicação constitui o instrumento regimental adequado para o encaminhamento da proposta ao Poder Executivo, em estrita observância ao princípio da separação de poderes, consagrado no art. 2º da Constituição Federal e no art. 6º da Constituição do Estado do Maranhão, e nos termos do art. 152 do Regimento Interno desta Casa, que autoriza expressamente a Indicação para sugerir “medidas de interesse público que não caibam em projetos de iniciativa da Assembleia”.</w:t>
      </w:r>
    </w:p>
    <w:p w14:paraId="4ED4F642" w14:textId="77777777" w:rsidR="002E3D1F" w:rsidRPr="006729F5" w:rsidRDefault="002E3D1F" w:rsidP="006729F5">
      <w:pPr>
        <w:spacing w:after="240" w:line="276" w:lineRule="auto"/>
        <w:ind w:firstLine="1418"/>
        <w:jc w:val="both"/>
        <w:rPr>
          <w:rFonts w:ascii="Times New Roman" w:hAnsi="Times New Roman" w:cs="Times New Roman"/>
        </w:rPr>
      </w:pPr>
      <w:r w:rsidRPr="006729F5">
        <w:rPr>
          <w:rFonts w:ascii="Times New Roman" w:hAnsi="Times New Roman" w:cs="Times New Roman"/>
        </w:rPr>
        <w:t>A análise da portaria vigente revela as seguintes exigências que carecem de revisão:</w:t>
      </w:r>
    </w:p>
    <w:p w14:paraId="5AF814C5" w14:textId="77777777" w:rsidR="002E3D1F" w:rsidRPr="006729F5" w:rsidRDefault="002E3D1F" w:rsidP="006729F5">
      <w:pPr>
        <w:spacing w:after="240" w:line="276" w:lineRule="auto"/>
        <w:ind w:firstLine="1418"/>
        <w:jc w:val="both"/>
        <w:rPr>
          <w:rFonts w:ascii="Times New Roman" w:hAnsi="Times New Roman" w:cs="Times New Roman"/>
        </w:rPr>
      </w:pPr>
      <w:r w:rsidRPr="006729F5">
        <w:rPr>
          <w:rFonts w:ascii="Times New Roman" w:hAnsi="Times New Roman" w:cs="Times New Roman"/>
        </w:rPr>
        <w:t>I – Exigência de comprovação de integralização e de capital social: requisito que não encontra respaldo na legislação empresarial federal aplicável ao registro estadual e impõe carga documental desnecessária às empresas.</w:t>
      </w:r>
    </w:p>
    <w:p w14:paraId="7A41BEC0" w14:textId="77777777" w:rsidR="002E3D1F" w:rsidRPr="006729F5" w:rsidRDefault="002E3D1F" w:rsidP="006729F5">
      <w:pPr>
        <w:spacing w:after="240" w:line="276" w:lineRule="auto"/>
        <w:ind w:firstLine="1418"/>
        <w:jc w:val="both"/>
        <w:rPr>
          <w:rFonts w:ascii="Times New Roman" w:hAnsi="Times New Roman" w:cs="Times New Roman"/>
        </w:rPr>
      </w:pPr>
      <w:r w:rsidRPr="006729F5">
        <w:rPr>
          <w:rFonts w:ascii="Times New Roman" w:hAnsi="Times New Roman" w:cs="Times New Roman"/>
        </w:rPr>
        <w:t>II – Obrigatoriedade de Alvará Municipal como condição para ativação estadual: a exigência tem gerado atrasos significativos em razão da morosidade de muitos municípios maranhenses na emissão do referido documento, criando um gargalo externo ao controle das empresas e dos contabilistas.</w:t>
      </w:r>
    </w:p>
    <w:p w14:paraId="473FCF40" w14:textId="77777777" w:rsidR="002E3D1F" w:rsidRPr="006729F5" w:rsidRDefault="002E3D1F" w:rsidP="006729F5">
      <w:pPr>
        <w:spacing w:after="240" w:line="276" w:lineRule="auto"/>
        <w:ind w:firstLine="1418"/>
        <w:jc w:val="both"/>
        <w:rPr>
          <w:rFonts w:ascii="Times New Roman" w:hAnsi="Times New Roman" w:cs="Times New Roman"/>
        </w:rPr>
      </w:pPr>
      <w:r w:rsidRPr="006729F5">
        <w:rPr>
          <w:rFonts w:ascii="Times New Roman" w:hAnsi="Times New Roman" w:cs="Times New Roman"/>
        </w:rPr>
        <w:t>III – Ausência de prazo para ativação e regra de indeferimento tácito: a portaria não estabelece prazo para que a SEFAZ conclua a análise documental nem disciplina de forma clara os efeitos da omissão do órgão, gerando insegurança jurídica para o contribuinte.</w:t>
      </w:r>
    </w:p>
    <w:p w14:paraId="3CA0E416" w14:textId="53D825B4" w:rsidR="006729F5" w:rsidRPr="006729F5" w:rsidRDefault="002E3D1F" w:rsidP="006729F5">
      <w:pPr>
        <w:spacing w:after="240" w:line="276" w:lineRule="auto"/>
        <w:ind w:firstLine="1418"/>
        <w:jc w:val="both"/>
        <w:rPr>
          <w:rFonts w:ascii="Times New Roman" w:hAnsi="Times New Roman" w:cs="Times New Roman"/>
        </w:rPr>
      </w:pPr>
      <w:r w:rsidRPr="006729F5">
        <w:rPr>
          <w:rFonts w:ascii="Times New Roman" w:hAnsi="Times New Roman" w:cs="Times New Roman"/>
        </w:rPr>
        <w:t>IV – Exigência de ativação para filiais de empresas com matriz já estabelecida no Estado: a reativação de filiais de grupos empresariais já inscritos no cadastro estadual constitui formalidade redundante e desnecessária, onerando desnecessariamente redes varejistas, farmacêuticas e demais empresas com múltiplos estabelecimentos.</w:t>
      </w:r>
    </w:p>
    <w:p w14:paraId="1B430A2E" w14:textId="661E89FF" w:rsidR="002E3D1F" w:rsidRPr="006729F5" w:rsidRDefault="002E3D1F" w:rsidP="006729F5">
      <w:pPr>
        <w:spacing w:after="240" w:line="276" w:lineRule="auto"/>
        <w:ind w:firstLine="1418"/>
        <w:jc w:val="both"/>
        <w:rPr>
          <w:rFonts w:ascii="Times New Roman" w:hAnsi="Times New Roman" w:cs="Times New Roman"/>
        </w:rPr>
      </w:pPr>
      <w:r w:rsidRPr="006729F5">
        <w:rPr>
          <w:rFonts w:ascii="Times New Roman" w:hAnsi="Times New Roman" w:cs="Times New Roman"/>
        </w:rPr>
        <w:t>Diante do exposto, este Parlamentar indica ao Poder Executivo que promova as seguintes alterações na Portaria SEFAZ nº 433/2015:</w:t>
      </w:r>
    </w:p>
    <w:p w14:paraId="75EA5156" w14:textId="77777777" w:rsidR="002E3D1F" w:rsidRPr="006729F5" w:rsidRDefault="002E3D1F" w:rsidP="006729F5">
      <w:pPr>
        <w:spacing w:after="240" w:line="276" w:lineRule="auto"/>
        <w:ind w:firstLine="1418"/>
        <w:jc w:val="both"/>
        <w:rPr>
          <w:rFonts w:ascii="Times New Roman" w:hAnsi="Times New Roman" w:cs="Times New Roman"/>
        </w:rPr>
      </w:pPr>
      <w:r w:rsidRPr="006729F5">
        <w:rPr>
          <w:rFonts w:ascii="Times New Roman" w:hAnsi="Times New Roman" w:cs="Times New Roman"/>
        </w:rPr>
        <w:t xml:space="preserve">V – Eliminação da exigência de comprovação de integralização e de capital </w:t>
      </w:r>
      <w:proofErr w:type="spellStart"/>
      <w:r w:rsidRPr="006729F5">
        <w:rPr>
          <w:rFonts w:ascii="Times New Roman" w:hAnsi="Times New Roman" w:cs="Times New Roman"/>
        </w:rPr>
        <w:t>socialpara</w:t>
      </w:r>
      <w:proofErr w:type="spellEnd"/>
      <w:r w:rsidRPr="006729F5">
        <w:rPr>
          <w:rFonts w:ascii="Times New Roman" w:hAnsi="Times New Roman" w:cs="Times New Roman"/>
        </w:rPr>
        <w:t xml:space="preserve"> fins de inscrição no cadastro estadual.</w:t>
      </w:r>
    </w:p>
    <w:p w14:paraId="393F4D26" w14:textId="77777777" w:rsidR="002E3D1F" w:rsidRPr="006729F5" w:rsidRDefault="002E3D1F" w:rsidP="006729F5">
      <w:pPr>
        <w:spacing w:after="240" w:line="276" w:lineRule="auto"/>
        <w:ind w:firstLine="1418"/>
        <w:jc w:val="both"/>
        <w:rPr>
          <w:rFonts w:ascii="Times New Roman" w:hAnsi="Times New Roman" w:cs="Times New Roman"/>
        </w:rPr>
      </w:pPr>
      <w:r w:rsidRPr="006729F5">
        <w:rPr>
          <w:rFonts w:ascii="Times New Roman" w:hAnsi="Times New Roman" w:cs="Times New Roman"/>
        </w:rPr>
        <w:t>VI – Substituição do Alvará Municipal pela apresentação de conta de energia elétrica do estabelecimento (art. 3º, inciso I), desonerando o contribuinte de exigência sujeita à burocracia municipal.</w:t>
      </w:r>
    </w:p>
    <w:p w14:paraId="4C7F7CDA" w14:textId="77777777" w:rsidR="002E3D1F" w:rsidRPr="006729F5" w:rsidRDefault="002E3D1F" w:rsidP="006729F5">
      <w:pPr>
        <w:spacing w:after="240" w:line="276" w:lineRule="auto"/>
        <w:ind w:firstLine="1418"/>
        <w:jc w:val="both"/>
        <w:rPr>
          <w:rFonts w:ascii="Times New Roman" w:hAnsi="Times New Roman" w:cs="Times New Roman"/>
        </w:rPr>
      </w:pPr>
      <w:r w:rsidRPr="006729F5">
        <w:rPr>
          <w:rFonts w:ascii="Times New Roman" w:hAnsi="Times New Roman" w:cs="Times New Roman"/>
        </w:rPr>
        <w:t>VII – Ativação imediata da empresa no momento do envio da documentação, com prazo de 30 (trinta) dias para a SEFAZ concluir a análise, sendo o indeferimento condicionado à existência de irregularidade documental devidamente fundamentada (art. 4º).</w:t>
      </w:r>
    </w:p>
    <w:p w14:paraId="51E58D10" w14:textId="77777777" w:rsidR="002E3D1F" w:rsidRPr="006729F5" w:rsidRDefault="002E3D1F" w:rsidP="006729F5">
      <w:pPr>
        <w:spacing w:after="240" w:line="276" w:lineRule="auto"/>
        <w:ind w:firstLine="1418"/>
        <w:jc w:val="both"/>
        <w:rPr>
          <w:rFonts w:ascii="Times New Roman" w:hAnsi="Times New Roman" w:cs="Times New Roman"/>
        </w:rPr>
      </w:pPr>
      <w:r w:rsidRPr="006729F5">
        <w:rPr>
          <w:rFonts w:ascii="Times New Roman" w:hAnsi="Times New Roman" w:cs="Times New Roman"/>
        </w:rPr>
        <w:t xml:space="preserve">VIII – Dispensa do processo de ativação para empresas que já possuam matriz inscrita no Estado do Maranhão, beneficiando filiais de grupos como Mateus, </w:t>
      </w:r>
      <w:proofErr w:type="spellStart"/>
      <w:r w:rsidRPr="006729F5">
        <w:rPr>
          <w:rFonts w:ascii="Times New Roman" w:hAnsi="Times New Roman" w:cs="Times New Roman"/>
        </w:rPr>
        <w:t>Extrafarma</w:t>
      </w:r>
      <w:proofErr w:type="spellEnd"/>
      <w:r w:rsidRPr="006729F5">
        <w:rPr>
          <w:rFonts w:ascii="Times New Roman" w:hAnsi="Times New Roman" w:cs="Times New Roman"/>
        </w:rPr>
        <w:t>, Pague Menos, Atacadão, Potiguar e demais estabelecimentos congêneres.</w:t>
      </w:r>
    </w:p>
    <w:p w14:paraId="2D4A25BD" w14:textId="77777777" w:rsidR="002E3D1F" w:rsidRPr="006729F5" w:rsidRDefault="002E3D1F" w:rsidP="006729F5">
      <w:pPr>
        <w:spacing w:after="240" w:line="276" w:lineRule="auto"/>
        <w:ind w:firstLine="1418"/>
        <w:jc w:val="both"/>
        <w:rPr>
          <w:rFonts w:ascii="Times New Roman" w:hAnsi="Times New Roman" w:cs="Times New Roman"/>
        </w:rPr>
      </w:pPr>
      <w:r w:rsidRPr="006729F5">
        <w:rPr>
          <w:rFonts w:ascii="Times New Roman" w:hAnsi="Times New Roman" w:cs="Times New Roman"/>
        </w:rPr>
        <w:lastRenderedPageBreak/>
        <w:t>As alterações ora indicadas encontram amparo na Lei Federal nº 11.598/2007 (Rede Nacional para a Simplificação do Registro e da Legalização de Empresas e Negócios – REDESIM), na Lei Complementar nº 123/2006 (Estatuto da Microempresa e da Empresa de Pequeno Porte) e nos princípios constitucionais da eficiência, proporcionalidade e razoabilidade aplicáveis à Administração Pública (art. 37, caput, CF/1988), que vedam a imposição de exigências formais sem correspondência com o interesse público que lhes justifique.</w:t>
      </w:r>
    </w:p>
    <w:p w14:paraId="10967E08" w14:textId="77777777" w:rsidR="002E3D1F" w:rsidRPr="006729F5" w:rsidRDefault="002E3D1F" w:rsidP="006729F5">
      <w:pPr>
        <w:spacing w:after="240" w:line="276" w:lineRule="auto"/>
        <w:ind w:firstLine="1418"/>
        <w:jc w:val="both"/>
        <w:rPr>
          <w:rFonts w:ascii="Times New Roman" w:hAnsi="Times New Roman" w:cs="Times New Roman"/>
        </w:rPr>
      </w:pPr>
      <w:r w:rsidRPr="006729F5">
        <w:rPr>
          <w:rFonts w:ascii="Times New Roman" w:hAnsi="Times New Roman" w:cs="Times New Roman"/>
        </w:rPr>
        <w:t>A medida está igualmente alinhada às diretrizes do Programa Estadual de Desburocratização e às políticas nacionais de melhoria do ambiente de negócios, consolidadas no Marco Legal das Startups (Lei nº 182/2021) e no Decreto Federal nº 10.326/2020, que estabelecem parâmetros para simplificação de licenças e alvarás.</w:t>
      </w:r>
    </w:p>
    <w:p w14:paraId="2557FC4C" w14:textId="77777777" w:rsidR="002E3D1F" w:rsidRPr="006729F5" w:rsidRDefault="002E3D1F" w:rsidP="006729F5">
      <w:pPr>
        <w:spacing w:after="240" w:line="276" w:lineRule="auto"/>
        <w:ind w:firstLine="1418"/>
        <w:jc w:val="both"/>
        <w:rPr>
          <w:rFonts w:ascii="Times New Roman" w:hAnsi="Times New Roman" w:cs="Times New Roman"/>
        </w:rPr>
      </w:pPr>
      <w:r w:rsidRPr="006729F5">
        <w:rPr>
          <w:rFonts w:ascii="Times New Roman" w:hAnsi="Times New Roman" w:cs="Times New Roman"/>
        </w:rPr>
        <w:t>Ante o exposto, este Deputado indica respeitosamente ao Excelentíssimo Senhor Governador do Estado do Maranhão que determine à Secretaria de Estado da Fazenda — SEFAZ/MA as providências necessárias para a alteração da Portaria nº 433/2015, nos termos descritos no item III desta Indicação, com vistas à simplificação do ambiente regulatório, ao estímulo ao empreendedorismo e ao fortalecimento da economia maranhense.</w:t>
      </w:r>
    </w:p>
    <w:p w14:paraId="3B76BA04" w14:textId="77777777" w:rsidR="002E3D1F" w:rsidRPr="006729F5" w:rsidRDefault="002E3D1F" w:rsidP="006729F5">
      <w:pPr>
        <w:spacing w:after="240" w:line="276" w:lineRule="auto"/>
        <w:ind w:firstLine="1418"/>
        <w:jc w:val="both"/>
        <w:rPr>
          <w:rFonts w:ascii="Times New Roman" w:hAnsi="Times New Roman" w:cs="Times New Roman"/>
        </w:rPr>
      </w:pPr>
      <w:r w:rsidRPr="006729F5">
        <w:rPr>
          <w:rFonts w:ascii="Times New Roman" w:hAnsi="Times New Roman" w:cs="Times New Roman"/>
        </w:rPr>
        <w:t>Plenário da Assembleia Legislativa do Estado do Maranhão, São Luís, 26 de maio de 2026.</w:t>
      </w:r>
    </w:p>
    <w:p w14:paraId="54CAED17" w14:textId="6D49B85E" w:rsidR="002E3D1F" w:rsidRDefault="002E3D1F" w:rsidP="006729F5">
      <w:pPr>
        <w:spacing w:after="240" w:line="276" w:lineRule="auto"/>
        <w:ind w:firstLine="1418"/>
        <w:jc w:val="both"/>
        <w:rPr>
          <w:rFonts w:ascii="Times New Roman" w:hAnsi="Times New Roman" w:cs="Times New Roman"/>
        </w:rPr>
      </w:pPr>
    </w:p>
    <w:p w14:paraId="7A42A338" w14:textId="77777777" w:rsidR="00663F25" w:rsidRPr="006729F5" w:rsidRDefault="00663F25" w:rsidP="006729F5">
      <w:pPr>
        <w:spacing w:after="240" w:line="276" w:lineRule="auto"/>
        <w:ind w:firstLine="1418"/>
        <w:jc w:val="both"/>
        <w:rPr>
          <w:rFonts w:ascii="Times New Roman" w:hAnsi="Times New Roman" w:cs="Times New Roman"/>
        </w:rPr>
      </w:pPr>
    </w:p>
    <w:p w14:paraId="07F669B2" w14:textId="6D4374DA" w:rsidR="002E3D1F" w:rsidRPr="006729F5" w:rsidRDefault="002E3D1F" w:rsidP="006729F5">
      <w:pPr>
        <w:spacing w:after="240" w:line="276" w:lineRule="auto"/>
        <w:ind w:firstLine="1418"/>
        <w:jc w:val="both"/>
        <w:rPr>
          <w:rFonts w:ascii="Times New Roman" w:hAnsi="Times New Roman" w:cs="Times New Roman"/>
        </w:rPr>
      </w:pPr>
      <w:r w:rsidRPr="006729F5">
        <w:rPr>
          <w:rFonts w:ascii="Times New Roman" w:hAnsi="Times New Roman" w:cs="Times New Roman"/>
        </w:rPr>
        <w:t>Deputado Antônio Pereira</w:t>
      </w:r>
      <w:r w:rsidR="006D13B7">
        <w:rPr>
          <w:rFonts w:ascii="Times New Roman" w:hAnsi="Times New Roman" w:cs="Times New Roman"/>
        </w:rPr>
        <w:t xml:space="preserve"> </w:t>
      </w:r>
    </w:p>
    <w:p w14:paraId="6011E2E1" w14:textId="77777777" w:rsidR="006D13B7" w:rsidRDefault="006D13B7" w:rsidP="006D13B7">
      <w:pPr>
        <w:spacing w:after="240" w:line="276" w:lineRule="auto"/>
        <w:jc w:val="both"/>
        <w:rPr>
          <w:rFonts w:ascii="Times New Roman" w:hAnsi="Times New Roman" w:cs="Times New Roman"/>
        </w:rPr>
      </w:pPr>
    </w:p>
    <w:p w14:paraId="25443542" w14:textId="412C53D0" w:rsidR="006D13B7" w:rsidRDefault="006D13B7" w:rsidP="006729F5">
      <w:pPr>
        <w:spacing w:after="240" w:line="276" w:lineRule="auto"/>
        <w:ind w:firstLine="1418"/>
        <w:jc w:val="both"/>
        <w:rPr>
          <w:rFonts w:ascii="Times New Roman" w:hAnsi="Times New Roman" w:cs="Times New Roman"/>
        </w:rPr>
      </w:pPr>
      <w:r>
        <w:rPr>
          <w:rFonts w:ascii="Times New Roman" w:hAnsi="Times New Roman" w:cs="Times New Roman"/>
        </w:rPr>
        <w:t>Deputada Iracema Vale</w:t>
      </w:r>
    </w:p>
    <w:p w14:paraId="51E6FFE1" w14:textId="17B3BA53" w:rsidR="006D13B7" w:rsidRPr="006729F5" w:rsidRDefault="006D13B7" w:rsidP="006729F5">
      <w:pPr>
        <w:spacing w:after="240" w:line="276" w:lineRule="auto"/>
        <w:ind w:firstLine="1418"/>
        <w:jc w:val="both"/>
        <w:rPr>
          <w:rFonts w:ascii="Times New Roman" w:hAnsi="Times New Roman" w:cs="Times New Roman"/>
        </w:rPr>
      </w:pPr>
    </w:p>
    <w:p w14:paraId="74F44133" w14:textId="77777777" w:rsidR="006D13B7" w:rsidRDefault="006D13B7" w:rsidP="006D13B7">
      <w:pPr>
        <w:spacing w:after="240" w:line="276" w:lineRule="auto"/>
        <w:ind w:firstLine="1418"/>
        <w:jc w:val="both"/>
        <w:rPr>
          <w:rFonts w:ascii="Times New Roman" w:hAnsi="Times New Roman" w:cs="Times New Roman"/>
        </w:rPr>
      </w:pPr>
      <w:r w:rsidRPr="006729F5">
        <w:rPr>
          <w:rFonts w:ascii="Times New Roman" w:hAnsi="Times New Roman" w:cs="Times New Roman"/>
        </w:rPr>
        <w:t>Assembleia Legislativa do Estado do Maranhão</w:t>
      </w:r>
    </w:p>
    <w:p w14:paraId="51CEBC92" w14:textId="77777777" w:rsidR="002E3D1F" w:rsidRPr="006729F5" w:rsidRDefault="002E3D1F" w:rsidP="006729F5">
      <w:pPr>
        <w:spacing w:after="240" w:line="276" w:lineRule="auto"/>
        <w:ind w:firstLine="1418"/>
        <w:jc w:val="both"/>
        <w:rPr>
          <w:rFonts w:ascii="Times New Roman" w:hAnsi="Times New Roman" w:cs="Times New Roman"/>
        </w:rPr>
      </w:pPr>
    </w:p>
    <w:p w14:paraId="037D3A37" w14:textId="77777777" w:rsidR="002E3D1F" w:rsidRDefault="002E3D1F" w:rsidP="006729F5">
      <w:pPr>
        <w:spacing w:after="240" w:line="276" w:lineRule="auto"/>
        <w:ind w:firstLine="1418"/>
        <w:jc w:val="both"/>
        <w:rPr>
          <w:rFonts w:ascii="Times New Roman" w:hAnsi="Times New Roman" w:cs="Times New Roman"/>
        </w:rPr>
      </w:pPr>
    </w:p>
    <w:p w14:paraId="0D6D9B48" w14:textId="77777777" w:rsidR="00DC25AB" w:rsidRPr="00B33F0D" w:rsidRDefault="00DC25AB" w:rsidP="006729F5">
      <w:pPr>
        <w:spacing w:after="240" w:line="276" w:lineRule="auto"/>
        <w:ind w:firstLine="1418"/>
        <w:jc w:val="both"/>
        <w:rPr>
          <w:rFonts w:ascii="Times New Roman" w:hAnsi="Times New Roman" w:cs="Times New Roman"/>
        </w:rPr>
      </w:pPr>
    </w:p>
    <w:p w14:paraId="006F5990" w14:textId="64625741" w:rsidR="007676AE" w:rsidRPr="00B33F0D" w:rsidRDefault="007676AE">
      <w:pPr>
        <w:jc w:val="center"/>
        <w:rPr>
          <w:rFonts w:ascii="Times New Roman" w:hAnsi="Times New Roman" w:cs="Times New Roman"/>
        </w:rPr>
      </w:pPr>
    </w:p>
    <w:sectPr w:rsidR="007676AE" w:rsidRPr="00B33F0D">
      <w:pgSz w:w="11906" w:h="16838"/>
      <w:pgMar w:top="1418" w:right="1134" w:bottom="1134" w:left="1418"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9F9C23" w14:textId="77777777" w:rsidR="00717F5C" w:rsidRDefault="00717F5C" w:rsidP="00663F25">
      <w:r>
        <w:separator/>
      </w:r>
    </w:p>
  </w:endnote>
  <w:endnote w:type="continuationSeparator" w:id="0">
    <w:p w14:paraId="16D89E30" w14:textId="77777777" w:rsidR="00717F5C" w:rsidRDefault="00717F5C" w:rsidP="00663F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D050FF" w14:textId="77777777" w:rsidR="00717F5C" w:rsidRDefault="00717F5C" w:rsidP="00663F25">
      <w:r>
        <w:separator/>
      </w:r>
    </w:p>
  </w:footnote>
  <w:footnote w:type="continuationSeparator" w:id="0">
    <w:p w14:paraId="4AADC55F" w14:textId="77777777" w:rsidR="00717F5C" w:rsidRDefault="00717F5C" w:rsidP="00663F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C36868"/>
    <w:multiLevelType w:val="hybridMultilevel"/>
    <w:tmpl w:val="465EE4E0"/>
    <w:lvl w:ilvl="0" w:tplc="249E4402">
      <w:start w:val="1"/>
      <w:numFmt w:val="bullet"/>
      <w:lvlText w:val="●"/>
      <w:lvlJc w:val="left"/>
      <w:pPr>
        <w:ind w:left="720" w:hanging="360"/>
      </w:pPr>
    </w:lvl>
    <w:lvl w:ilvl="1" w:tplc="7B7CABB8">
      <w:start w:val="1"/>
      <w:numFmt w:val="bullet"/>
      <w:lvlText w:val="○"/>
      <w:lvlJc w:val="left"/>
      <w:pPr>
        <w:ind w:left="1440" w:hanging="360"/>
      </w:pPr>
    </w:lvl>
    <w:lvl w:ilvl="2" w:tplc="4DA89FFC">
      <w:start w:val="1"/>
      <w:numFmt w:val="bullet"/>
      <w:lvlText w:val="■"/>
      <w:lvlJc w:val="left"/>
      <w:pPr>
        <w:ind w:left="2160" w:hanging="360"/>
      </w:pPr>
    </w:lvl>
    <w:lvl w:ilvl="3" w:tplc="07B62648">
      <w:start w:val="1"/>
      <w:numFmt w:val="bullet"/>
      <w:lvlText w:val="●"/>
      <w:lvlJc w:val="left"/>
      <w:pPr>
        <w:ind w:left="2880" w:hanging="360"/>
      </w:pPr>
    </w:lvl>
    <w:lvl w:ilvl="4" w:tplc="154C8428">
      <w:start w:val="1"/>
      <w:numFmt w:val="bullet"/>
      <w:lvlText w:val="○"/>
      <w:lvlJc w:val="left"/>
      <w:pPr>
        <w:ind w:left="3600" w:hanging="360"/>
      </w:pPr>
    </w:lvl>
    <w:lvl w:ilvl="5" w:tplc="57721E58">
      <w:start w:val="1"/>
      <w:numFmt w:val="bullet"/>
      <w:lvlText w:val="■"/>
      <w:lvlJc w:val="left"/>
      <w:pPr>
        <w:ind w:left="4320" w:hanging="360"/>
      </w:pPr>
    </w:lvl>
    <w:lvl w:ilvl="6" w:tplc="9E00DA06">
      <w:start w:val="1"/>
      <w:numFmt w:val="bullet"/>
      <w:lvlText w:val="●"/>
      <w:lvlJc w:val="left"/>
      <w:pPr>
        <w:ind w:left="5040" w:hanging="360"/>
      </w:pPr>
    </w:lvl>
    <w:lvl w:ilvl="7" w:tplc="B4768848">
      <w:start w:val="1"/>
      <w:numFmt w:val="bullet"/>
      <w:lvlText w:val="●"/>
      <w:lvlJc w:val="left"/>
      <w:pPr>
        <w:ind w:left="5760" w:hanging="360"/>
      </w:pPr>
    </w:lvl>
    <w:lvl w:ilvl="8" w:tplc="C9BE23A8">
      <w:start w:val="1"/>
      <w:numFmt w:val="bullet"/>
      <w:lvlText w:val="●"/>
      <w:lvlJc w:val="left"/>
      <w:pPr>
        <w:ind w:left="6480" w:hanging="360"/>
      </w:pPr>
    </w:lvl>
  </w:abstractNum>
  <w:num w:numId="1" w16cid:durableId="28385298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76AE"/>
    <w:rsid w:val="00000F53"/>
    <w:rsid w:val="00144D10"/>
    <w:rsid w:val="001D68AB"/>
    <w:rsid w:val="002E3D1F"/>
    <w:rsid w:val="00307EF2"/>
    <w:rsid w:val="00480898"/>
    <w:rsid w:val="005B24DE"/>
    <w:rsid w:val="00663F25"/>
    <w:rsid w:val="006729F5"/>
    <w:rsid w:val="006D13B7"/>
    <w:rsid w:val="00717F5C"/>
    <w:rsid w:val="007676AE"/>
    <w:rsid w:val="007A4B7A"/>
    <w:rsid w:val="008839E2"/>
    <w:rsid w:val="008A7A62"/>
    <w:rsid w:val="008C558E"/>
    <w:rsid w:val="009A7B02"/>
    <w:rsid w:val="00A8049F"/>
    <w:rsid w:val="00B02415"/>
    <w:rsid w:val="00B33B55"/>
    <w:rsid w:val="00B33F0D"/>
    <w:rsid w:val="00C31701"/>
    <w:rsid w:val="00CE0B3A"/>
    <w:rsid w:val="00D064F3"/>
    <w:rsid w:val="00DC25AB"/>
    <w:rsid w:val="00DE5C2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F595F"/>
  <w15:docId w15:val="{D4037417-2AEE-7042-98DE-7B263F25F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uiPriority w:val="9"/>
    <w:qFormat/>
    <w:pPr>
      <w:outlineLvl w:val="0"/>
    </w:pPr>
    <w:rPr>
      <w:color w:val="2E74B5"/>
      <w:sz w:val="32"/>
      <w:szCs w:val="32"/>
    </w:rPr>
  </w:style>
  <w:style w:type="paragraph" w:styleId="Ttulo2">
    <w:name w:val="heading 2"/>
    <w:uiPriority w:val="9"/>
    <w:semiHidden/>
    <w:unhideWhenUsed/>
    <w:qFormat/>
    <w:pPr>
      <w:outlineLvl w:val="1"/>
    </w:pPr>
    <w:rPr>
      <w:color w:val="2E74B5"/>
      <w:sz w:val="26"/>
      <w:szCs w:val="26"/>
    </w:rPr>
  </w:style>
  <w:style w:type="paragraph" w:styleId="Ttulo3">
    <w:name w:val="heading 3"/>
    <w:uiPriority w:val="9"/>
    <w:semiHidden/>
    <w:unhideWhenUsed/>
    <w:qFormat/>
    <w:pPr>
      <w:outlineLvl w:val="2"/>
    </w:pPr>
    <w:rPr>
      <w:color w:val="1F4D78"/>
    </w:rPr>
  </w:style>
  <w:style w:type="paragraph" w:styleId="Ttulo4">
    <w:name w:val="heading 4"/>
    <w:uiPriority w:val="9"/>
    <w:semiHidden/>
    <w:unhideWhenUsed/>
    <w:qFormat/>
    <w:pPr>
      <w:outlineLvl w:val="3"/>
    </w:pPr>
    <w:rPr>
      <w:i/>
      <w:iCs/>
      <w:color w:val="2E74B5"/>
    </w:rPr>
  </w:style>
  <w:style w:type="paragraph" w:styleId="Ttulo5">
    <w:name w:val="heading 5"/>
    <w:uiPriority w:val="9"/>
    <w:semiHidden/>
    <w:unhideWhenUsed/>
    <w:qFormat/>
    <w:pPr>
      <w:outlineLvl w:val="4"/>
    </w:pPr>
    <w:rPr>
      <w:color w:val="2E74B5"/>
    </w:rPr>
  </w:style>
  <w:style w:type="paragraph" w:styleId="Ttulo6">
    <w:name w:val="heading 6"/>
    <w:uiPriority w:val="9"/>
    <w:semiHidden/>
    <w:unhideWhenUsed/>
    <w:qFormat/>
    <w:pPr>
      <w:outlineLvl w:val="5"/>
    </w:pPr>
    <w:rPr>
      <w:color w:val="1F4D7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uiPriority w:val="10"/>
    <w:qFormat/>
    <w:rPr>
      <w:sz w:val="56"/>
      <w:szCs w:val="56"/>
    </w:rPr>
  </w:style>
  <w:style w:type="paragraph" w:customStyle="1" w:styleId="Forte1">
    <w:name w:val="Forte1"/>
    <w:qFormat/>
    <w:rPr>
      <w:b/>
      <w:bCs/>
    </w:rPr>
  </w:style>
  <w:style w:type="paragraph" w:styleId="PargrafodaLista">
    <w:name w:val="List Paragraph"/>
    <w:qFormat/>
  </w:style>
  <w:style w:type="character" w:styleId="Hyperlink">
    <w:name w:val="Hyperlink"/>
    <w:uiPriority w:val="99"/>
    <w:unhideWhenUsed/>
    <w:rPr>
      <w:color w:val="0563C1"/>
      <w:u w:val="single"/>
    </w:rPr>
  </w:style>
  <w:style w:type="character" w:styleId="Refdenotaderodap">
    <w:name w:val="footnote reference"/>
    <w:uiPriority w:val="99"/>
    <w:semiHidden/>
    <w:unhideWhenUsed/>
    <w:rPr>
      <w:vertAlign w:val="superscript"/>
    </w:rPr>
  </w:style>
  <w:style w:type="paragraph" w:styleId="Textodenotaderodap">
    <w:name w:val="footnote text"/>
    <w:link w:val="TextodenotaderodapChar"/>
    <w:uiPriority w:val="99"/>
    <w:semiHidden/>
    <w:unhideWhenUsed/>
    <w:rPr>
      <w:sz w:val="20"/>
      <w:szCs w:val="20"/>
    </w:rPr>
  </w:style>
  <w:style w:type="character" w:customStyle="1" w:styleId="TextodenotaderodapChar">
    <w:name w:val="Texto de nota de rodapé Char"/>
    <w:link w:val="Textodenotaderodap"/>
    <w:uiPriority w:val="99"/>
    <w:semiHidden/>
    <w:unhideWhenUsed/>
    <w:rPr>
      <w:sz w:val="20"/>
      <w:szCs w:val="20"/>
    </w:rPr>
  </w:style>
  <w:style w:type="character" w:styleId="Refdenotadefim">
    <w:name w:val="endnote reference"/>
    <w:uiPriority w:val="99"/>
    <w:semiHidden/>
    <w:unhideWhenUsed/>
    <w:rPr>
      <w:vertAlign w:val="superscript"/>
    </w:rPr>
  </w:style>
  <w:style w:type="paragraph" w:styleId="Textodenotadefim">
    <w:name w:val="endnote text"/>
    <w:link w:val="TextodenotadefimChar"/>
    <w:uiPriority w:val="99"/>
    <w:semiHidden/>
    <w:unhideWhenUsed/>
    <w:rPr>
      <w:sz w:val="20"/>
      <w:szCs w:val="20"/>
    </w:rPr>
  </w:style>
  <w:style w:type="character" w:customStyle="1" w:styleId="TextodenotadefimChar">
    <w:name w:val="Texto de nota de fim Char"/>
    <w:link w:val="Textodenotadefim"/>
    <w:uiPriority w:val="99"/>
    <w:semiHidden/>
    <w:unhideWhenUsed/>
    <w:rPr>
      <w:sz w:val="20"/>
      <w:szCs w:val="20"/>
    </w:rPr>
  </w:style>
  <w:style w:type="paragraph" w:customStyle="1" w:styleId="s18">
    <w:name w:val="s18"/>
    <w:basedOn w:val="Normal"/>
    <w:rsid w:val="002E3D1F"/>
    <w:pPr>
      <w:spacing w:before="100" w:beforeAutospacing="1" w:after="100" w:afterAutospacing="1"/>
    </w:pPr>
    <w:rPr>
      <w:rFonts w:ascii="Times New Roman" w:eastAsiaTheme="minorEastAsia" w:hAnsi="Times New Roman" w:cs="Times New Roman"/>
    </w:rPr>
  </w:style>
  <w:style w:type="character" w:customStyle="1" w:styleId="s17">
    <w:name w:val="s17"/>
    <w:basedOn w:val="Fontepargpadro"/>
    <w:rsid w:val="002E3D1F"/>
  </w:style>
  <w:style w:type="paragraph" w:customStyle="1" w:styleId="s16">
    <w:name w:val="s16"/>
    <w:basedOn w:val="Normal"/>
    <w:rsid w:val="002E3D1F"/>
    <w:pPr>
      <w:spacing w:before="100" w:beforeAutospacing="1" w:after="100" w:afterAutospacing="1"/>
    </w:pPr>
    <w:rPr>
      <w:rFonts w:ascii="Times New Roman" w:eastAsiaTheme="minorEastAsia" w:hAnsi="Times New Roman" w:cs="Times New Roman"/>
    </w:rPr>
  </w:style>
  <w:style w:type="character" w:customStyle="1" w:styleId="s14">
    <w:name w:val="s14"/>
    <w:basedOn w:val="Fontepargpadro"/>
    <w:rsid w:val="002E3D1F"/>
  </w:style>
  <w:style w:type="character" w:customStyle="1" w:styleId="apple-converted-space">
    <w:name w:val="apple-converted-space"/>
    <w:basedOn w:val="Fontepargpadro"/>
    <w:rsid w:val="002E3D1F"/>
  </w:style>
  <w:style w:type="character" w:customStyle="1" w:styleId="s15">
    <w:name w:val="s15"/>
    <w:basedOn w:val="Fontepargpadro"/>
    <w:rsid w:val="002E3D1F"/>
  </w:style>
  <w:style w:type="paragraph" w:customStyle="1" w:styleId="s21">
    <w:name w:val="s21"/>
    <w:basedOn w:val="Normal"/>
    <w:rsid w:val="002E3D1F"/>
    <w:pPr>
      <w:spacing w:before="100" w:beforeAutospacing="1" w:after="100" w:afterAutospacing="1"/>
    </w:pPr>
    <w:rPr>
      <w:rFonts w:ascii="Times New Roman" w:eastAsiaTheme="minorEastAsia" w:hAnsi="Times New Roman" w:cs="Times New Roman"/>
    </w:rPr>
  </w:style>
  <w:style w:type="paragraph" w:customStyle="1" w:styleId="s5">
    <w:name w:val="s5"/>
    <w:basedOn w:val="Normal"/>
    <w:rsid w:val="002E3D1F"/>
    <w:pPr>
      <w:spacing w:before="100" w:beforeAutospacing="1" w:after="100" w:afterAutospacing="1"/>
    </w:pPr>
    <w:rPr>
      <w:rFonts w:ascii="Times New Roman" w:eastAsiaTheme="minorEastAsia" w:hAnsi="Times New Roman" w:cs="Times New Roman"/>
    </w:rPr>
  </w:style>
  <w:style w:type="paragraph" w:customStyle="1" w:styleId="s22">
    <w:name w:val="s22"/>
    <w:basedOn w:val="Normal"/>
    <w:rsid w:val="002E3D1F"/>
    <w:pPr>
      <w:spacing w:before="100" w:beforeAutospacing="1" w:after="100" w:afterAutospacing="1"/>
    </w:pPr>
    <w:rPr>
      <w:rFonts w:ascii="Times New Roman" w:eastAsiaTheme="minorEastAsia" w:hAnsi="Times New Roman" w:cs="Times New Roman"/>
    </w:rPr>
  </w:style>
  <w:style w:type="character" w:customStyle="1" w:styleId="s12">
    <w:name w:val="s12"/>
    <w:basedOn w:val="Fontepargpadro"/>
    <w:rsid w:val="002E3D1F"/>
  </w:style>
  <w:style w:type="paragraph" w:styleId="Cabealho">
    <w:name w:val="header"/>
    <w:basedOn w:val="Normal"/>
    <w:link w:val="CabealhoChar"/>
    <w:uiPriority w:val="99"/>
    <w:unhideWhenUsed/>
    <w:rsid w:val="00663F25"/>
    <w:pPr>
      <w:tabs>
        <w:tab w:val="center" w:pos="4252"/>
        <w:tab w:val="right" w:pos="8504"/>
      </w:tabs>
    </w:pPr>
  </w:style>
  <w:style w:type="character" w:customStyle="1" w:styleId="CabealhoChar">
    <w:name w:val="Cabeçalho Char"/>
    <w:basedOn w:val="Fontepargpadro"/>
    <w:link w:val="Cabealho"/>
    <w:uiPriority w:val="99"/>
    <w:rsid w:val="00663F25"/>
  </w:style>
  <w:style w:type="paragraph" w:styleId="Rodap">
    <w:name w:val="footer"/>
    <w:basedOn w:val="Normal"/>
    <w:link w:val="RodapChar"/>
    <w:uiPriority w:val="99"/>
    <w:unhideWhenUsed/>
    <w:rsid w:val="00663F25"/>
    <w:pPr>
      <w:tabs>
        <w:tab w:val="center" w:pos="4252"/>
        <w:tab w:val="right" w:pos="8504"/>
      </w:tabs>
    </w:pPr>
  </w:style>
  <w:style w:type="character" w:customStyle="1" w:styleId="RodapChar">
    <w:name w:val="Rodapé Char"/>
    <w:basedOn w:val="Fontepargpadro"/>
    <w:link w:val="Rodap"/>
    <w:uiPriority w:val="99"/>
    <w:rsid w:val="00663F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1066</Words>
  <Characters>5758</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Indicação - Alteração Portaria 433/2015 SEFAZ-MA (v3 com Anteprojeto)</vt:lpstr>
    </vt:vector>
  </TitlesOfParts>
  <Company/>
  <LinksUpToDate>false</LinksUpToDate>
  <CharactersWithSpaces>6811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Indicação - Alteração Portaria 433/2015 SEFAZ-MA (v3 com Anteprojeto)</dc:title>
  <dc:creator>Consultoria Legislativa - ALEMA</dc:creator>
  <cp:lastModifiedBy>Evandro Pires de lemos</cp:lastModifiedBy>
  <cp:revision>3</cp:revision>
  <dcterms:created xsi:type="dcterms:W3CDTF">2026-05-26T13:01:00Z</dcterms:created>
  <dcterms:modified xsi:type="dcterms:W3CDTF">2026-05-26T13:05:00Z</dcterms:modified>
</cp:coreProperties>
</file>