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DCEA93" w14:textId="77777777" w:rsidR="0018172B" w:rsidRDefault="0018172B" w:rsidP="002F3F63">
      <w:pPr>
        <w:tabs>
          <w:tab w:val="left" w:pos="1134"/>
        </w:tabs>
        <w:spacing w:line="360" w:lineRule="auto"/>
        <w:jc w:val="center"/>
        <w:rPr>
          <w:rFonts w:ascii="Times New Roman" w:hAnsi="Times New Roman"/>
          <w:b/>
        </w:rPr>
      </w:pPr>
    </w:p>
    <w:p w14:paraId="6C3AE843" w14:textId="4A596931" w:rsidR="002F3F63" w:rsidRPr="002F3F63" w:rsidRDefault="002F3F63" w:rsidP="002F3F63">
      <w:pPr>
        <w:tabs>
          <w:tab w:val="left" w:pos="1134"/>
        </w:tabs>
        <w:spacing w:line="360" w:lineRule="auto"/>
        <w:jc w:val="center"/>
        <w:rPr>
          <w:rFonts w:ascii="Times New Roman" w:hAnsi="Times New Roman"/>
          <w:b/>
        </w:rPr>
      </w:pPr>
      <w:r w:rsidRPr="002F3F63">
        <w:rPr>
          <w:rFonts w:ascii="Times New Roman" w:hAnsi="Times New Roman"/>
          <w:b/>
        </w:rPr>
        <w:t>REQUERIMENTO Nº          /</w:t>
      </w:r>
      <w:r w:rsidR="007B1ED1">
        <w:rPr>
          <w:rFonts w:ascii="Times New Roman" w:hAnsi="Times New Roman"/>
          <w:b/>
        </w:rPr>
        <w:t>202</w:t>
      </w:r>
      <w:r w:rsidR="00971459">
        <w:rPr>
          <w:rFonts w:ascii="Times New Roman" w:hAnsi="Times New Roman"/>
          <w:b/>
        </w:rPr>
        <w:t>6</w:t>
      </w:r>
    </w:p>
    <w:p w14:paraId="3B321B20" w14:textId="77777777" w:rsidR="007E6487" w:rsidRDefault="007E6487" w:rsidP="007E6487">
      <w:pPr>
        <w:tabs>
          <w:tab w:val="left" w:pos="1134"/>
        </w:tabs>
        <w:spacing w:line="360" w:lineRule="auto"/>
        <w:jc w:val="both"/>
        <w:rPr>
          <w:rFonts w:ascii="Times New Roman" w:hAnsi="Times New Roman"/>
          <w:bCs/>
        </w:rPr>
      </w:pPr>
    </w:p>
    <w:p w14:paraId="42CCE430" w14:textId="0C476BED" w:rsidR="007E6487" w:rsidRDefault="002F3F63" w:rsidP="007E6487">
      <w:pPr>
        <w:tabs>
          <w:tab w:val="left" w:pos="1134"/>
        </w:tabs>
        <w:spacing w:line="360" w:lineRule="auto"/>
        <w:ind w:firstLine="993"/>
        <w:jc w:val="both"/>
        <w:rPr>
          <w:rFonts w:ascii="Times New Roman" w:hAnsi="Times New Roman"/>
          <w:bCs/>
        </w:rPr>
      </w:pPr>
      <w:r w:rsidRPr="00777CCC">
        <w:rPr>
          <w:rFonts w:ascii="Times New Roman" w:hAnsi="Times New Roman"/>
          <w:bCs/>
        </w:rPr>
        <w:t>Senhor</w:t>
      </w:r>
      <w:r w:rsidR="00E941AA" w:rsidRPr="00777CCC">
        <w:rPr>
          <w:rFonts w:ascii="Times New Roman" w:hAnsi="Times New Roman"/>
          <w:bCs/>
        </w:rPr>
        <w:t>a</w:t>
      </w:r>
      <w:r w:rsidRPr="00777CCC">
        <w:rPr>
          <w:rFonts w:ascii="Times New Roman" w:hAnsi="Times New Roman"/>
          <w:bCs/>
        </w:rPr>
        <w:t xml:space="preserve"> Presidente,</w:t>
      </w:r>
    </w:p>
    <w:p w14:paraId="30D7B147" w14:textId="2B0419A6" w:rsidR="007E6487" w:rsidRPr="007E6487" w:rsidRDefault="007E6487" w:rsidP="007E6487">
      <w:pPr>
        <w:tabs>
          <w:tab w:val="left" w:pos="1134"/>
        </w:tabs>
        <w:spacing w:line="360" w:lineRule="auto"/>
        <w:ind w:firstLine="993"/>
        <w:jc w:val="both"/>
        <w:rPr>
          <w:rFonts w:ascii="Times New Roman" w:hAnsi="Times New Roman"/>
          <w:bCs/>
        </w:rPr>
      </w:pPr>
      <w:r w:rsidRPr="007E6487">
        <w:rPr>
          <w:rFonts w:ascii="Times New Roman" w:hAnsi="Times New Roman"/>
          <w:bCs/>
        </w:rPr>
        <w:t>Nos termos regimentais, requeiro, após ouvido o Plenário, que seja encaminhado expediente à Procuradoria-Geral do Estado do Maranhão, solicitando informações e manifestação técnica acerca da competência dos Agentes da Receita Estadual para constituição do crédito tributário, especialmente após as alterações introduzidas pela Lei Estadual nº 12.577/2025 no §4º do art. 178 da Lei Estadual nº 7.799/2002.</w:t>
      </w:r>
    </w:p>
    <w:p w14:paraId="133D11CE" w14:textId="47FA3F26" w:rsidR="007E6487" w:rsidRPr="007E6487" w:rsidRDefault="007E6487" w:rsidP="007E6487">
      <w:pPr>
        <w:tabs>
          <w:tab w:val="left" w:pos="1134"/>
        </w:tabs>
        <w:spacing w:line="360" w:lineRule="auto"/>
        <w:ind w:firstLine="993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Os </w:t>
      </w:r>
      <w:r w:rsidRPr="007E6487">
        <w:rPr>
          <w:rFonts w:ascii="Times New Roman" w:hAnsi="Times New Roman"/>
          <w:bCs/>
        </w:rPr>
        <w:t>Representantes dos Agentes da Receita Estadual apresentaram a este mandato preocupação quanto aos efeitos da Lei Estadual nº 12.577/2025 sobre as atribuições funcionais da carreira, em especial quanto à possibilidade de expedição de Notificação de Lançamento e constituição do crédito tributário.</w:t>
      </w:r>
    </w:p>
    <w:p w14:paraId="52F55C44" w14:textId="66555FA8" w:rsidR="007E6487" w:rsidRPr="007E6487" w:rsidRDefault="007E6487" w:rsidP="007E6487">
      <w:pPr>
        <w:tabs>
          <w:tab w:val="left" w:pos="1134"/>
        </w:tabs>
        <w:spacing w:line="360" w:lineRule="auto"/>
        <w:ind w:firstLine="993"/>
        <w:jc w:val="both"/>
        <w:rPr>
          <w:rFonts w:ascii="Times New Roman" w:hAnsi="Times New Roman"/>
          <w:bCs/>
        </w:rPr>
      </w:pPr>
      <w:r w:rsidRPr="007E6487">
        <w:rPr>
          <w:rFonts w:ascii="Times New Roman" w:hAnsi="Times New Roman"/>
          <w:bCs/>
        </w:rPr>
        <w:t>De acordo com Nota Técnica elaborada pela Diretoria Jurídica do SINTAF/MA, a alteração promovida no §4º do art. 178 da Lei Estadual nº 7.799/2002 teria equiparado indevidamente a Notificação de Lançamento ao regime de competência do Auto de Infração, o que teria produzido efeito concreto de supressão ou esvaziamento da competência dos Agentes da Receita Estadual para constituição do crédito tributário, especialmente em matérias como o ITCMD.</w:t>
      </w:r>
    </w:p>
    <w:p w14:paraId="4A7379D2" w14:textId="74439B7A" w:rsidR="007E6487" w:rsidRPr="007E6487" w:rsidRDefault="007E6487" w:rsidP="007E6487">
      <w:pPr>
        <w:tabs>
          <w:tab w:val="left" w:pos="1134"/>
        </w:tabs>
        <w:spacing w:line="360" w:lineRule="auto"/>
        <w:ind w:firstLine="993"/>
        <w:jc w:val="both"/>
        <w:rPr>
          <w:rFonts w:ascii="Times New Roman" w:hAnsi="Times New Roman"/>
          <w:bCs/>
        </w:rPr>
      </w:pPr>
      <w:r w:rsidRPr="007E6487">
        <w:rPr>
          <w:rFonts w:ascii="Times New Roman" w:hAnsi="Times New Roman"/>
          <w:bCs/>
        </w:rPr>
        <w:t>A Nota Técnica também menciona o Parecer nº 851/2022-PCF-PGE/MA, segundo o qual os Auditores Fiscais da Receita Estadual e os Agentes da Receita Estadual, integrantes do Grupo TAF, possuiriam idêntica competência para realizar lançamento por declaração para constituição do crédito tributário no ITCMD.</w:t>
      </w:r>
    </w:p>
    <w:p w14:paraId="4B155643" w14:textId="77777777" w:rsidR="007E6487" w:rsidRPr="007E6487" w:rsidRDefault="007E6487" w:rsidP="007E6487">
      <w:pPr>
        <w:tabs>
          <w:tab w:val="left" w:pos="1134"/>
        </w:tabs>
        <w:spacing w:line="360" w:lineRule="auto"/>
        <w:ind w:firstLine="993"/>
        <w:jc w:val="both"/>
        <w:rPr>
          <w:rFonts w:ascii="Times New Roman" w:hAnsi="Times New Roman"/>
          <w:bCs/>
        </w:rPr>
      </w:pPr>
      <w:r w:rsidRPr="007E6487">
        <w:rPr>
          <w:rFonts w:ascii="Times New Roman" w:hAnsi="Times New Roman"/>
          <w:bCs/>
        </w:rPr>
        <w:t>A questão possui relevância jurídica e administrativa, pois envolve a interpretação sistemática da legislação tributária estadual, a organização da Administração Tributária, a validade de atos administrativos de lançamento, a segurança jurídica da arrecadação estadual e a delimitação das atribuições das carreiras integrantes do Grupo TAF.</w:t>
      </w:r>
    </w:p>
    <w:p w14:paraId="0C9B348A" w14:textId="77777777" w:rsidR="007E6487" w:rsidRPr="007E6487" w:rsidRDefault="007E6487" w:rsidP="007E6487">
      <w:pPr>
        <w:tabs>
          <w:tab w:val="left" w:pos="1134"/>
        </w:tabs>
        <w:spacing w:line="360" w:lineRule="auto"/>
        <w:ind w:firstLine="993"/>
        <w:jc w:val="both"/>
        <w:rPr>
          <w:rFonts w:ascii="Times New Roman" w:hAnsi="Times New Roman"/>
          <w:bCs/>
        </w:rPr>
      </w:pPr>
    </w:p>
    <w:p w14:paraId="3393B034" w14:textId="60B0834A" w:rsidR="007E6487" w:rsidRDefault="007E6487" w:rsidP="007E6487">
      <w:pPr>
        <w:tabs>
          <w:tab w:val="left" w:pos="1134"/>
        </w:tabs>
        <w:spacing w:line="360" w:lineRule="auto"/>
        <w:ind w:firstLine="993"/>
        <w:jc w:val="both"/>
        <w:rPr>
          <w:rFonts w:ascii="Times New Roman" w:hAnsi="Times New Roman"/>
          <w:bCs/>
        </w:rPr>
      </w:pPr>
      <w:r w:rsidRPr="007E6487">
        <w:rPr>
          <w:rFonts w:ascii="Times New Roman" w:hAnsi="Times New Roman"/>
          <w:bCs/>
        </w:rPr>
        <w:lastRenderedPageBreak/>
        <w:t>Diante disso, solicita-se à Procuradoria-Geral do Estado do Maranhão que encaminhe a esta Casa Legislativa as seguintes informações:</w:t>
      </w:r>
    </w:p>
    <w:p w14:paraId="7D12A479" w14:textId="77777777" w:rsidR="007E6487" w:rsidRPr="007E6487" w:rsidRDefault="007E6487" w:rsidP="007E6487">
      <w:pPr>
        <w:tabs>
          <w:tab w:val="left" w:pos="1134"/>
        </w:tabs>
        <w:spacing w:line="360" w:lineRule="auto"/>
        <w:ind w:firstLine="993"/>
        <w:jc w:val="both"/>
        <w:rPr>
          <w:rFonts w:ascii="Times New Roman" w:hAnsi="Times New Roman"/>
          <w:bCs/>
        </w:rPr>
      </w:pPr>
    </w:p>
    <w:p w14:paraId="43DB982D" w14:textId="77777777" w:rsidR="007E6487" w:rsidRPr="007E6487" w:rsidRDefault="007E6487" w:rsidP="007E6487">
      <w:pPr>
        <w:tabs>
          <w:tab w:val="left" w:pos="1134"/>
        </w:tabs>
        <w:spacing w:line="360" w:lineRule="auto"/>
        <w:ind w:firstLine="993"/>
        <w:jc w:val="both"/>
        <w:rPr>
          <w:rFonts w:ascii="Times New Roman" w:hAnsi="Times New Roman"/>
          <w:bCs/>
        </w:rPr>
      </w:pPr>
      <w:r w:rsidRPr="007E6487">
        <w:rPr>
          <w:rFonts w:ascii="Times New Roman" w:hAnsi="Times New Roman"/>
          <w:bCs/>
        </w:rPr>
        <w:t>1. Cópia integral do Parecer nº 851/2022-PCF-PGE/MA, bem como de eventuais despachos, aprovações, manifestações complementares ou atos administrativos relacionados ao referido parecer.</w:t>
      </w:r>
    </w:p>
    <w:p w14:paraId="5A69D5A8" w14:textId="77777777" w:rsidR="007E6487" w:rsidRPr="007E6487" w:rsidRDefault="007E6487" w:rsidP="007E6487">
      <w:pPr>
        <w:tabs>
          <w:tab w:val="left" w:pos="1134"/>
        </w:tabs>
        <w:spacing w:line="360" w:lineRule="auto"/>
        <w:ind w:firstLine="993"/>
        <w:jc w:val="both"/>
        <w:rPr>
          <w:rFonts w:ascii="Times New Roman" w:hAnsi="Times New Roman"/>
          <w:bCs/>
        </w:rPr>
      </w:pPr>
      <w:r w:rsidRPr="007E6487">
        <w:rPr>
          <w:rFonts w:ascii="Times New Roman" w:hAnsi="Times New Roman"/>
          <w:bCs/>
        </w:rPr>
        <w:t>2. Manifestação sobre a atual validade e aplicabilidade do entendimento firmado no Parecer nº 851/2022-PCF-PGE/MA, especialmente quanto à competência dos Agentes da Receita Estadual para realizar lançamento por declaração no ITCMD.</w:t>
      </w:r>
    </w:p>
    <w:p w14:paraId="293669AC" w14:textId="77777777" w:rsidR="007E6487" w:rsidRPr="007E6487" w:rsidRDefault="007E6487" w:rsidP="007E6487">
      <w:pPr>
        <w:tabs>
          <w:tab w:val="left" w:pos="1134"/>
        </w:tabs>
        <w:spacing w:line="360" w:lineRule="auto"/>
        <w:ind w:firstLine="993"/>
        <w:jc w:val="both"/>
        <w:rPr>
          <w:rFonts w:ascii="Times New Roman" w:hAnsi="Times New Roman"/>
          <w:bCs/>
        </w:rPr>
      </w:pPr>
      <w:r w:rsidRPr="007E6487">
        <w:rPr>
          <w:rFonts w:ascii="Times New Roman" w:hAnsi="Times New Roman"/>
          <w:bCs/>
        </w:rPr>
        <w:t>3. Manifestação sobre os efeitos jurídicos da Lei Estadual nº 12.577/2025 sobre a competência dos Agentes da Receita Estadual para expedir Notificação de Lançamento.</w:t>
      </w:r>
    </w:p>
    <w:p w14:paraId="2780A495" w14:textId="77777777" w:rsidR="007E6487" w:rsidRPr="007E6487" w:rsidRDefault="007E6487" w:rsidP="007E6487">
      <w:pPr>
        <w:tabs>
          <w:tab w:val="left" w:pos="1134"/>
        </w:tabs>
        <w:spacing w:line="360" w:lineRule="auto"/>
        <w:ind w:firstLine="993"/>
        <w:jc w:val="both"/>
        <w:rPr>
          <w:rFonts w:ascii="Times New Roman" w:hAnsi="Times New Roman"/>
          <w:bCs/>
        </w:rPr>
      </w:pPr>
      <w:r w:rsidRPr="007E6487">
        <w:rPr>
          <w:rFonts w:ascii="Times New Roman" w:hAnsi="Times New Roman"/>
          <w:bCs/>
        </w:rPr>
        <w:t>4. Informação sobre eventual alteração, superação ou revisão do entendimento anteriormente adotado pela PGE/MA quanto à competência dos Agentes da Receita Estadual para constituição do crédito tributário.</w:t>
      </w:r>
    </w:p>
    <w:p w14:paraId="0D36AB58" w14:textId="77777777" w:rsidR="007E6487" w:rsidRPr="007E6487" w:rsidRDefault="007E6487" w:rsidP="007E6487">
      <w:pPr>
        <w:tabs>
          <w:tab w:val="left" w:pos="1134"/>
        </w:tabs>
        <w:spacing w:line="360" w:lineRule="auto"/>
        <w:ind w:firstLine="993"/>
        <w:jc w:val="both"/>
        <w:rPr>
          <w:rFonts w:ascii="Times New Roman" w:hAnsi="Times New Roman"/>
          <w:bCs/>
        </w:rPr>
      </w:pPr>
      <w:r w:rsidRPr="007E6487">
        <w:rPr>
          <w:rFonts w:ascii="Times New Roman" w:hAnsi="Times New Roman"/>
          <w:bCs/>
        </w:rPr>
        <w:t>5. Manifestação sobre a distinção jurídica entre lançamento de ofício, Notificação de Lançamento e Auto de Infração, para fins de definição de competência funcional no âmbito da Administração Tributária Estadual.</w:t>
      </w:r>
    </w:p>
    <w:p w14:paraId="0557FFD3" w14:textId="77777777" w:rsidR="007E6487" w:rsidRPr="007E6487" w:rsidRDefault="007E6487" w:rsidP="007E6487">
      <w:pPr>
        <w:tabs>
          <w:tab w:val="left" w:pos="1134"/>
        </w:tabs>
        <w:spacing w:line="360" w:lineRule="auto"/>
        <w:ind w:firstLine="993"/>
        <w:jc w:val="both"/>
        <w:rPr>
          <w:rFonts w:ascii="Times New Roman" w:hAnsi="Times New Roman"/>
          <w:bCs/>
        </w:rPr>
      </w:pPr>
      <w:r w:rsidRPr="007E6487">
        <w:rPr>
          <w:rFonts w:ascii="Times New Roman" w:hAnsi="Times New Roman"/>
          <w:bCs/>
        </w:rPr>
        <w:t>6. Informação sobre eventual necessidade de correção legislativa, repristinação ou alteração normativa para evitar insegurança jurídica quanto aos atos praticados por Agentes da Receita Estadual.</w:t>
      </w:r>
    </w:p>
    <w:p w14:paraId="1BFE059D" w14:textId="77777777" w:rsidR="007E6487" w:rsidRPr="007E6487" w:rsidRDefault="007E6487" w:rsidP="007E6487">
      <w:pPr>
        <w:tabs>
          <w:tab w:val="left" w:pos="1134"/>
        </w:tabs>
        <w:spacing w:line="360" w:lineRule="auto"/>
        <w:ind w:firstLine="993"/>
        <w:jc w:val="both"/>
        <w:rPr>
          <w:rFonts w:ascii="Times New Roman" w:hAnsi="Times New Roman"/>
          <w:bCs/>
        </w:rPr>
      </w:pPr>
      <w:r w:rsidRPr="007E6487">
        <w:rPr>
          <w:rFonts w:ascii="Times New Roman" w:hAnsi="Times New Roman"/>
          <w:bCs/>
        </w:rPr>
        <w:t>7. Informação sobre a existência de parecer, nota técnica, consulta, processo administrativo ou estudo jurídico em tramitação na PGE/MA acerca da matéria.</w:t>
      </w:r>
    </w:p>
    <w:p w14:paraId="7B2A2835" w14:textId="77777777" w:rsidR="007E6487" w:rsidRPr="007E6487" w:rsidRDefault="007E6487" w:rsidP="007E6487">
      <w:pPr>
        <w:tabs>
          <w:tab w:val="left" w:pos="1134"/>
        </w:tabs>
        <w:spacing w:line="360" w:lineRule="auto"/>
        <w:ind w:firstLine="993"/>
        <w:jc w:val="both"/>
        <w:rPr>
          <w:rFonts w:ascii="Times New Roman" w:hAnsi="Times New Roman"/>
          <w:bCs/>
        </w:rPr>
      </w:pPr>
    </w:p>
    <w:p w14:paraId="43294582" w14:textId="1B5560BC" w:rsidR="007E6487" w:rsidRDefault="007E6487" w:rsidP="007E6487">
      <w:pPr>
        <w:tabs>
          <w:tab w:val="left" w:pos="1134"/>
        </w:tabs>
        <w:spacing w:line="360" w:lineRule="auto"/>
        <w:ind w:firstLine="993"/>
        <w:jc w:val="both"/>
        <w:rPr>
          <w:rFonts w:ascii="Times New Roman" w:hAnsi="Times New Roman"/>
          <w:bCs/>
        </w:rPr>
      </w:pPr>
      <w:r w:rsidRPr="007E6487">
        <w:rPr>
          <w:rFonts w:ascii="Times New Roman" w:hAnsi="Times New Roman"/>
          <w:bCs/>
        </w:rPr>
        <w:t>A presente solicitação busca subsidiar a atuação fiscalizatória e legislativa desta Casa, com vistas à preservação da legalidade, da segurança jurídica e da eficiência da Administração Tributária Estadual.</w:t>
      </w:r>
    </w:p>
    <w:p w14:paraId="75EB382B" w14:textId="527A5FC7" w:rsidR="002F3F63" w:rsidRPr="00216F68" w:rsidRDefault="002F3F63" w:rsidP="00971459">
      <w:pPr>
        <w:spacing w:line="360" w:lineRule="auto"/>
        <w:jc w:val="both"/>
        <w:rPr>
          <w:rFonts w:ascii="Times New Roman" w:hAnsi="Times New Roman" w:cs="Times New Roman"/>
          <w:bCs/>
        </w:rPr>
      </w:pPr>
    </w:p>
    <w:p w14:paraId="7E188757" w14:textId="21722817" w:rsidR="00190D8E" w:rsidRPr="00216F68" w:rsidRDefault="009C5C25" w:rsidP="00E1294C">
      <w:pPr>
        <w:spacing w:line="360" w:lineRule="auto"/>
        <w:ind w:firstLine="993"/>
        <w:jc w:val="both"/>
        <w:rPr>
          <w:rFonts w:ascii="Times New Roman" w:hAnsi="Times New Roman" w:cs="Times New Roman"/>
          <w:bCs/>
        </w:rPr>
      </w:pPr>
      <w:r w:rsidRPr="00216F68">
        <w:rPr>
          <w:rFonts w:ascii="Times New Roman" w:hAnsi="Times New Roman" w:cs="Times New Roman"/>
          <w:bCs/>
        </w:rPr>
        <w:t>Assembleia Legislativa do Estado do Maranhão</w:t>
      </w:r>
      <w:r w:rsidR="007B1ED1" w:rsidRPr="00216F68">
        <w:rPr>
          <w:rFonts w:ascii="Times New Roman" w:hAnsi="Times New Roman" w:cs="Times New Roman"/>
          <w:bCs/>
        </w:rPr>
        <w:t xml:space="preserve">, </w:t>
      </w:r>
      <w:r w:rsidR="0039151E" w:rsidRPr="00216F68">
        <w:rPr>
          <w:rFonts w:ascii="Times New Roman" w:hAnsi="Times New Roman" w:cs="Times New Roman"/>
          <w:bCs/>
        </w:rPr>
        <w:t>01</w:t>
      </w:r>
      <w:r w:rsidR="002E3E57" w:rsidRPr="00216F68">
        <w:rPr>
          <w:rFonts w:ascii="Times New Roman" w:hAnsi="Times New Roman" w:cs="Times New Roman"/>
          <w:bCs/>
        </w:rPr>
        <w:t xml:space="preserve"> de</w:t>
      </w:r>
      <w:r w:rsidR="00B73E2D" w:rsidRPr="00216F68">
        <w:rPr>
          <w:rFonts w:ascii="Times New Roman" w:hAnsi="Times New Roman" w:cs="Times New Roman"/>
          <w:bCs/>
        </w:rPr>
        <w:t xml:space="preserve"> </w:t>
      </w:r>
      <w:r w:rsidR="00971459" w:rsidRPr="00216F68">
        <w:rPr>
          <w:rFonts w:ascii="Times New Roman" w:hAnsi="Times New Roman" w:cs="Times New Roman"/>
          <w:bCs/>
        </w:rPr>
        <w:t>ju</w:t>
      </w:r>
      <w:r w:rsidR="0039151E" w:rsidRPr="00216F68">
        <w:rPr>
          <w:rFonts w:ascii="Times New Roman" w:hAnsi="Times New Roman" w:cs="Times New Roman"/>
          <w:bCs/>
        </w:rPr>
        <w:t>lh</w:t>
      </w:r>
      <w:r w:rsidR="00971459" w:rsidRPr="00216F68">
        <w:rPr>
          <w:rFonts w:ascii="Times New Roman" w:hAnsi="Times New Roman" w:cs="Times New Roman"/>
          <w:bCs/>
        </w:rPr>
        <w:t>o</w:t>
      </w:r>
      <w:r w:rsidR="0060238E" w:rsidRPr="00216F68">
        <w:rPr>
          <w:rFonts w:ascii="Times New Roman" w:hAnsi="Times New Roman" w:cs="Times New Roman"/>
          <w:bCs/>
        </w:rPr>
        <w:t xml:space="preserve"> </w:t>
      </w:r>
      <w:r w:rsidR="007B1ED1" w:rsidRPr="00216F68">
        <w:rPr>
          <w:rFonts w:ascii="Times New Roman" w:hAnsi="Times New Roman" w:cs="Times New Roman"/>
          <w:bCs/>
        </w:rPr>
        <w:t>de</w:t>
      </w:r>
      <w:r w:rsidR="002F3F63" w:rsidRPr="00216F68">
        <w:rPr>
          <w:rFonts w:ascii="Times New Roman" w:hAnsi="Times New Roman" w:cs="Times New Roman"/>
          <w:bCs/>
        </w:rPr>
        <w:t xml:space="preserve"> </w:t>
      </w:r>
      <w:r w:rsidR="007B1ED1" w:rsidRPr="00216F68">
        <w:rPr>
          <w:rFonts w:ascii="Times New Roman" w:hAnsi="Times New Roman" w:cs="Times New Roman"/>
          <w:bCs/>
        </w:rPr>
        <w:t>202</w:t>
      </w:r>
      <w:r w:rsidR="00971459" w:rsidRPr="00216F68">
        <w:rPr>
          <w:rFonts w:ascii="Times New Roman" w:hAnsi="Times New Roman" w:cs="Times New Roman"/>
          <w:bCs/>
        </w:rPr>
        <w:t>6</w:t>
      </w:r>
      <w:r w:rsidR="002F3F63" w:rsidRPr="00216F68">
        <w:rPr>
          <w:rFonts w:ascii="Times New Roman" w:hAnsi="Times New Roman" w:cs="Times New Roman"/>
          <w:bCs/>
        </w:rPr>
        <w:t>.</w:t>
      </w:r>
    </w:p>
    <w:p w14:paraId="007F98C3" w14:textId="77777777" w:rsidR="00190D8E" w:rsidRPr="0018172B" w:rsidRDefault="00190D8E" w:rsidP="002F3F63">
      <w:pPr>
        <w:tabs>
          <w:tab w:val="left" w:pos="1134"/>
        </w:tabs>
        <w:spacing w:line="360" w:lineRule="auto"/>
        <w:rPr>
          <w:rFonts w:ascii="Times New Roman" w:hAnsi="Times New Roman" w:cs="Times New Roman"/>
        </w:rPr>
      </w:pPr>
    </w:p>
    <w:p w14:paraId="3F080867" w14:textId="6C20F372" w:rsidR="00F92A35" w:rsidRPr="0018172B" w:rsidRDefault="0018172B" w:rsidP="00190D8E">
      <w:pPr>
        <w:jc w:val="center"/>
        <w:rPr>
          <w:rFonts w:ascii="Times New Roman" w:hAnsi="Times New Roman" w:cs="Times New Roman"/>
          <w:b/>
          <w:noProof/>
          <w:color w:val="000000" w:themeColor="text1"/>
        </w:rPr>
      </w:pPr>
      <w:r w:rsidRPr="0018172B">
        <w:rPr>
          <w:rFonts w:ascii="Times New Roman" w:hAnsi="Times New Roman" w:cs="Times New Roman"/>
          <w:b/>
          <w:noProof/>
          <w:color w:val="000000" w:themeColor="text1"/>
        </w:rPr>
        <w:t xml:space="preserve">DR. YGLÉSIO </w:t>
      </w:r>
    </w:p>
    <w:p w14:paraId="5ED29B80" w14:textId="52FDA850" w:rsidR="0018172B" w:rsidRPr="0018172B" w:rsidRDefault="0018172B" w:rsidP="00190D8E">
      <w:pPr>
        <w:jc w:val="center"/>
        <w:rPr>
          <w:rFonts w:ascii="Times New Roman" w:hAnsi="Times New Roman" w:cs="Times New Roman"/>
          <w:lang w:val="en-US"/>
        </w:rPr>
      </w:pPr>
      <w:r w:rsidRPr="0018172B">
        <w:rPr>
          <w:rFonts w:ascii="Times New Roman" w:hAnsi="Times New Roman" w:cs="Times New Roman"/>
          <w:b/>
          <w:noProof/>
          <w:color w:val="000000" w:themeColor="text1"/>
        </w:rPr>
        <w:t xml:space="preserve">Deputado Estadual </w:t>
      </w:r>
    </w:p>
    <w:sectPr w:rsidR="0018172B" w:rsidRPr="0018172B" w:rsidSect="00E021F2">
      <w:headerReference w:type="default" r:id="rId6"/>
      <w:pgSz w:w="11906" w:h="16838"/>
      <w:pgMar w:top="1418" w:right="1701" w:bottom="1418" w:left="1701" w:header="284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27E752E" w14:textId="77777777" w:rsidR="00863A2F" w:rsidRDefault="00863A2F" w:rsidP="00F92A35">
      <w:r>
        <w:separator/>
      </w:r>
    </w:p>
  </w:endnote>
  <w:endnote w:type="continuationSeparator" w:id="0">
    <w:p w14:paraId="2BE4F921" w14:textId="77777777" w:rsidR="00863A2F" w:rsidRDefault="00863A2F" w:rsidP="00F92A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BD660FB" w14:textId="77777777" w:rsidR="00863A2F" w:rsidRDefault="00863A2F" w:rsidP="00F92A35">
      <w:r>
        <w:separator/>
      </w:r>
    </w:p>
  </w:footnote>
  <w:footnote w:type="continuationSeparator" w:id="0">
    <w:p w14:paraId="0AF08AE9" w14:textId="77777777" w:rsidR="00863A2F" w:rsidRDefault="00863A2F" w:rsidP="00F92A3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AAEB00" w14:textId="3C6887CD" w:rsidR="00F92A35" w:rsidRDefault="002F3F63" w:rsidP="002F3F63">
    <w:pPr>
      <w:tabs>
        <w:tab w:val="center" w:pos="4252"/>
        <w:tab w:val="right" w:pos="8504"/>
      </w:tabs>
      <w:spacing w:line="192" w:lineRule="auto"/>
      <w:jc w:val="center"/>
      <w:rPr>
        <w:color w:val="000000" w:themeColor="text1"/>
      </w:rPr>
    </w:pPr>
    <w:r>
      <w:rPr>
        <w:noProof/>
      </w:rPr>
      <w:drawing>
        <wp:inline distT="0" distB="0" distL="0" distR="0" wp14:anchorId="192B1AB2" wp14:editId="7AA030CF">
          <wp:extent cx="838200" cy="835406"/>
          <wp:effectExtent l="0" t="0" r="0" b="3175"/>
          <wp:docPr id="8" name="Imagem 8" descr="Image result for BRASÃO MARANHÃO&quot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Image result for BRASÃO MARANHÃO&quot;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3467" cy="85062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1062AD4" w14:textId="77777777" w:rsidR="00F92A35" w:rsidRDefault="00F92A35" w:rsidP="00F92A35">
    <w:pPr>
      <w:tabs>
        <w:tab w:val="center" w:pos="4252"/>
        <w:tab w:val="right" w:pos="8504"/>
      </w:tabs>
      <w:spacing w:line="192" w:lineRule="auto"/>
      <w:jc w:val="center"/>
      <w:rPr>
        <w:color w:val="000000" w:themeColor="text1"/>
      </w:rPr>
    </w:pPr>
  </w:p>
  <w:p w14:paraId="54A5D9F6" w14:textId="77777777" w:rsidR="00F92A35" w:rsidRPr="007B1ED1" w:rsidRDefault="00F92A35" w:rsidP="00F92A35">
    <w:pPr>
      <w:tabs>
        <w:tab w:val="center" w:pos="4252"/>
        <w:tab w:val="right" w:pos="8504"/>
      </w:tabs>
      <w:spacing w:line="192" w:lineRule="auto"/>
      <w:jc w:val="center"/>
      <w:rPr>
        <w:rFonts w:ascii="Times New Roman" w:hAnsi="Times New Roman" w:cs="Times New Roman"/>
        <w:b/>
        <w:color w:val="000000" w:themeColor="text1"/>
      </w:rPr>
    </w:pPr>
    <w:r w:rsidRPr="007B1ED1">
      <w:rPr>
        <w:rFonts w:ascii="Times New Roman" w:hAnsi="Times New Roman" w:cs="Times New Roman"/>
        <w:b/>
        <w:color w:val="000000" w:themeColor="text1"/>
      </w:rPr>
      <w:t>ESTADO DO MARANHÃO</w:t>
    </w:r>
  </w:p>
  <w:p w14:paraId="79A78F20" w14:textId="71F2E786" w:rsidR="00F92A35" w:rsidRPr="007B1ED1" w:rsidRDefault="00EA6D06" w:rsidP="00F92A35">
    <w:pPr>
      <w:tabs>
        <w:tab w:val="center" w:pos="4252"/>
        <w:tab w:val="right" w:pos="8504"/>
      </w:tabs>
      <w:jc w:val="center"/>
      <w:rPr>
        <w:rFonts w:ascii="Times New Roman" w:hAnsi="Times New Roman" w:cs="Times New Roman"/>
        <w:b/>
        <w:color w:val="000000" w:themeColor="text1"/>
      </w:rPr>
    </w:pPr>
    <w:r w:rsidRPr="007B1ED1">
      <w:rPr>
        <w:rFonts w:ascii="Times New Roman" w:hAnsi="Times New Roman" w:cs="Times New Roman"/>
        <w:b/>
        <w:color w:val="000000" w:themeColor="text1"/>
      </w:rPr>
      <w:t>ASSEMBLEIA LEGISLATIVA</w:t>
    </w:r>
  </w:p>
  <w:p w14:paraId="2C2AB9E2" w14:textId="1BF8915B" w:rsidR="00F92A35" w:rsidRPr="007B1ED1" w:rsidRDefault="00F92A35" w:rsidP="00F92A35">
    <w:pPr>
      <w:tabs>
        <w:tab w:val="center" w:pos="4252"/>
        <w:tab w:val="right" w:pos="8504"/>
      </w:tabs>
      <w:jc w:val="center"/>
      <w:rPr>
        <w:rFonts w:ascii="Times New Roman" w:hAnsi="Times New Roman" w:cs="Times New Roman"/>
        <w:b/>
        <w:color w:val="000000" w:themeColor="text1"/>
      </w:rPr>
    </w:pPr>
    <w:r w:rsidRPr="007B1ED1">
      <w:rPr>
        <w:rFonts w:ascii="Times New Roman" w:hAnsi="Times New Roman" w:cs="Times New Roman"/>
        <w:b/>
        <w:color w:val="000000" w:themeColor="text1"/>
      </w:rPr>
      <w:t>GAB</w:t>
    </w:r>
    <w:r w:rsidR="002F3F63" w:rsidRPr="007B1ED1">
      <w:rPr>
        <w:rFonts w:ascii="Times New Roman" w:hAnsi="Times New Roman" w:cs="Times New Roman"/>
        <w:b/>
        <w:color w:val="000000" w:themeColor="text1"/>
      </w:rPr>
      <w:t>INETE</w:t>
    </w:r>
    <w:r w:rsidRPr="007B1ED1">
      <w:rPr>
        <w:rFonts w:ascii="Times New Roman" w:hAnsi="Times New Roman" w:cs="Times New Roman"/>
        <w:b/>
        <w:color w:val="000000" w:themeColor="text1"/>
      </w:rPr>
      <w:t xml:space="preserve"> DO DEP</w:t>
    </w:r>
    <w:r w:rsidR="002F3F63" w:rsidRPr="007B1ED1">
      <w:rPr>
        <w:rFonts w:ascii="Times New Roman" w:hAnsi="Times New Roman" w:cs="Times New Roman"/>
        <w:b/>
        <w:color w:val="000000" w:themeColor="text1"/>
      </w:rPr>
      <w:t>UTADO</w:t>
    </w:r>
    <w:r w:rsidR="007B1ED1" w:rsidRPr="007B1ED1">
      <w:rPr>
        <w:rFonts w:ascii="Times New Roman" w:hAnsi="Times New Roman" w:cs="Times New Roman"/>
        <w:b/>
        <w:color w:val="000000" w:themeColor="text1"/>
      </w:rPr>
      <w:t xml:space="preserve"> ESTADUAL</w:t>
    </w:r>
    <w:r w:rsidRPr="007B1ED1">
      <w:rPr>
        <w:rFonts w:ascii="Times New Roman" w:hAnsi="Times New Roman" w:cs="Times New Roman"/>
        <w:b/>
        <w:color w:val="000000" w:themeColor="text1"/>
      </w:rPr>
      <w:t xml:space="preserve"> DR. YGLÉSIO </w:t>
    </w:r>
  </w:p>
  <w:p w14:paraId="7E29E54B" w14:textId="77777777" w:rsidR="00F92A35" w:rsidRDefault="00F92A35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81"/>
  <w:drawingGridVerticalSpacing w:val="181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2A35"/>
    <w:rsid w:val="000969A0"/>
    <w:rsid w:val="000C6283"/>
    <w:rsid w:val="000E7BBA"/>
    <w:rsid w:val="000F57AD"/>
    <w:rsid w:val="00150D6B"/>
    <w:rsid w:val="00161514"/>
    <w:rsid w:val="0018172B"/>
    <w:rsid w:val="00190D8E"/>
    <w:rsid w:val="001F364F"/>
    <w:rsid w:val="00216F68"/>
    <w:rsid w:val="0025098B"/>
    <w:rsid w:val="002E3E57"/>
    <w:rsid w:val="002F3F63"/>
    <w:rsid w:val="003121D6"/>
    <w:rsid w:val="00321D7B"/>
    <w:rsid w:val="00337F6A"/>
    <w:rsid w:val="0039151E"/>
    <w:rsid w:val="003C3B65"/>
    <w:rsid w:val="003D22F3"/>
    <w:rsid w:val="003E3C97"/>
    <w:rsid w:val="00422F02"/>
    <w:rsid w:val="00501E2E"/>
    <w:rsid w:val="0052054D"/>
    <w:rsid w:val="00525014"/>
    <w:rsid w:val="005368D9"/>
    <w:rsid w:val="005A4412"/>
    <w:rsid w:val="005F2A97"/>
    <w:rsid w:val="006019CE"/>
    <w:rsid w:val="0060238E"/>
    <w:rsid w:val="006C56DC"/>
    <w:rsid w:val="006D50A2"/>
    <w:rsid w:val="00702004"/>
    <w:rsid w:val="00705D98"/>
    <w:rsid w:val="00777CCC"/>
    <w:rsid w:val="007B1ED1"/>
    <w:rsid w:val="007D36E0"/>
    <w:rsid w:val="007E6487"/>
    <w:rsid w:val="0082431F"/>
    <w:rsid w:val="00863A2F"/>
    <w:rsid w:val="008735DB"/>
    <w:rsid w:val="00912D1F"/>
    <w:rsid w:val="0094729C"/>
    <w:rsid w:val="00971459"/>
    <w:rsid w:val="009C5C25"/>
    <w:rsid w:val="009C5EE9"/>
    <w:rsid w:val="009D0810"/>
    <w:rsid w:val="009D1B58"/>
    <w:rsid w:val="009F2068"/>
    <w:rsid w:val="00A644E6"/>
    <w:rsid w:val="00AC514A"/>
    <w:rsid w:val="00AC66FC"/>
    <w:rsid w:val="00AE5C41"/>
    <w:rsid w:val="00B73E2D"/>
    <w:rsid w:val="00B962BD"/>
    <w:rsid w:val="00C37141"/>
    <w:rsid w:val="00C64CBE"/>
    <w:rsid w:val="00CA2081"/>
    <w:rsid w:val="00D45C7B"/>
    <w:rsid w:val="00DF2D7D"/>
    <w:rsid w:val="00DF2F8E"/>
    <w:rsid w:val="00E021F2"/>
    <w:rsid w:val="00E1294C"/>
    <w:rsid w:val="00E22113"/>
    <w:rsid w:val="00E26DC3"/>
    <w:rsid w:val="00E73431"/>
    <w:rsid w:val="00E941AA"/>
    <w:rsid w:val="00EA6D06"/>
    <w:rsid w:val="00F87200"/>
    <w:rsid w:val="00F92A35"/>
    <w:rsid w:val="00F93BC9"/>
    <w:rsid w:val="00F96880"/>
    <w:rsid w:val="00FB3AB1"/>
    <w:rsid w:val="00FC0707"/>
    <w:rsid w:val="00FC5039"/>
    <w:rsid w:val="00FF2B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CC01605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pt-BR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nhideWhenUsed="1"/>
  </w:latentStyles>
  <w:style w:type="paragraph" w:default="1" w:styleId="Normal">
    <w:name w:val="Normal"/>
    <w:qFormat/>
    <w:rsid w:val="00F92A35"/>
    <w:rPr>
      <w:rFonts w:ascii="Century" w:eastAsiaTheme="minorHAnsi" w:hAnsi="Century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F92A35"/>
    <w:pPr>
      <w:tabs>
        <w:tab w:val="center" w:pos="4419"/>
        <w:tab w:val="right" w:pos="8838"/>
      </w:tabs>
      <w:ind w:firstLine="1134"/>
    </w:pPr>
    <w:rPr>
      <w:rFonts w:ascii="Times New Roman" w:eastAsia="Times New Roman" w:hAnsi="Times New Roman" w:cs="Times New Roman"/>
      <w:color w:val="000000"/>
      <w:lang w:eastAsia="ja-JP"/>
    </w:rPr>
  </w:style>
  <w:style w:type="character" w:customStyle="1" w:styleId="CabealhoChar">
    <w:name w:val="Cabeçalho Char"/>
    <w:basedOn w:val="Fontepargpadro"/>
    <w:link w:val="Cabealho"/>
    <w:uiPriority w:val="99"/>
    <w:rsid w:val="00F92A35"/>
    <w:rPr>
      <w:rFonts w:ascii="Times New Roman" w:eastAsia="Times New Roman" w:hAnsi="Times New Roman" w:cs="Times New Roman"/>
      <w:color w:val="000000"/>
    </w:rPr>
  </w:style>
  <w:style w:type="paragraph" w:styleId="Rodap">
    <w:name w:val="footer"/>
    <w:basedOn w:val="Normal"/>
    <w:link w:val="RodapChar"/>
    <w:uiPriority w:val="99"/>
    <w:unhideWhenUsed/>
    <w:rsid w:val="00F92A35"/>
    <w:pPr>
      <w:tabs>
        <w:tab w:val="center" w:pos="4419"/>
        <w:tab w:val="right" w:pos="8838"/>
      </w:tabs>
      <w:ind w:firstLine="1134"/>
    </w:pPr>
    <w:rPr>
      <w:rFonts w:ascii="Times New Roman" w:eastAsia="Times New Roman" w:hAnsi="Times New Roman" w:cs="Times New Roman"/>
      <w:color w:val="000000"/>
      <w:lang w:eastAsia="ja-JP"/>
    </w:rPr>
  </w:style>
  <w:style w:type="character" w:customStyle="1" w:styleId="RodapChar">
    <w:name w:val="Rodapé Char"/>
    <w:basedOn w:val="Fontepargpadro"/>
    <w:link w:val="Rodap"/>
    <w:uiPriority w:val="99"/>
    <w:rsid w:val="00F92A35"/>
    <w:rPr>
      <w:rFonts w:ascii="Times New Roman" w:eastAsia="Times New Roman" w:hAnsi="Times New Roman" w:cs="Times New Roman"/>
      <w:color w:val="00000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F2068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F2068"/>
    <w:rPr>
      <w:rFonts w:ascii="Segoe UI" w:eastAsiaTheme="minorHAnsi" w:hAnsi="Segoe UI" w:cs="Segoe UI"/>
      <w:sz w:val="18"/>
      <w:szCs w:val="18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569</Words>
  <Characters>3074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juliana p</dc:creator>
  <cp:keywords/>
  <dc:description/>
  <cp:lastModifiedBy>Maíra Cardoso Leite de Sá</cp:lastModifiedBy>
  <cp:revision>9</cp:revision>
  <cp:lastPrinted>2023-10-10T13:34:00Z</cp:lastPrinted>
  <dcterms:created xsi:type="dcterms:W3CDTF">2024-03-20T17:41:00Z</dcterms:created>
  <dcterms:modified xsi:type="dcterms:W3CDTF">2026-07-01T16:12:00Z</dcterms:modified>
</cp:coreProperties>
</file>