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CEA93" w14:textId="77777777" w:rsidR="0018172B" w:rsidRDefault="0018172B" w:rsidP="002F3F63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</w:p>
    <w:p w14:paraId="6C3AE843" w14:textId="4A596931" w:rsidR="002F3F63" w:rsidRPr="002F3F63" w:rsidRDefault="002F3F63" w:rsidP="002F3F63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  <w:r w:rsidRPr="002F3F63">
        <w:rPr>
          <w:rFonts w:ascii="Times New Roman" w:hAnsi="Times New Roman"/>
          <w:b/>
        </w:rPr>
        <w:t>REQUERIMENTO Nº          /</w:t>
      </w:r>
      <w:r w:rsidR="007B1ED1">
        <w:rPr>
          <w:rFonts w:ascii="Times New Roman" w:hAnsi="Times New Roman"/>
          <w:b/>
        </w:rPr>
        <w:t>202</w:t>
      </w:r>
      <w:r w:rsidR="00971459">
        <w:rPr>
          <w:rFonts w:ascii="Times New Roman" w:hAnsi="Times New Roman"/>
          <w:b/>
        </w:rPr>
        <w:t>6</w:t>
      </w:r>
    </w:p>
    <w:p w14:paraId="3B321B20" w14:textId="77777777" w:rsidR="007E6487" w:rsidRDefault="007E6487" w:rsidP="007E6487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bCs/>
        </w:rPr>
      </w:pPr>
    </w:p>
    <w:p w14:paraId="42CCE430" w14:textId="0C476BED" w:rsidR="007E6487" w:rsidRDefault="002F3F63" w:rsidP="007E648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77CCC">
        <w:rPr>
          <w:rFonts w:ascii="Times New Roman" w:hAnsi="Times New Roman"/>
          <w:bCs/>
        </w:rPr>
        <w:t>Senhor</w:t>
      </w:r>
      <w:r w:rsidR="00E941AA" w:rsidRPr="00777CCC">
        <w:rPr>
          <w:rFonts w:ascii="Times New Roman" w:hAnsi="Times New Roman"/>
          <w:bCs/>
        </w:rPr>
        <w:t>a</w:t>
      </w:r>
      <w:r w:rsidRPr="00777CCC">
        <w:rPr>
          <w:rFonts w:ascii="Times New Roman" w:hAnsi="Times New Roman"/>
          <w:bCs/>
        </w:rPr>
        <w:t xml:space="preserve"> Presidente,</w:t>
      </w:r>
    </w:p>
    <w:p w14:paraId="213F7E05" w14:textId="77777777" w:rsidR="009816BC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Nos termos regimentais, requeiro, após ouvido o Plenário, a realização de audiência pública, ou reunião técnica no âmbito da comissão competente, para debater as atribuições dos Agentes da Receita Estadual, os efeitos da Lei Estadual nº 12.577/2025 e a necessidade de eventual correção legislativa quanto à competência para constituição do crédito tributário.</w:t>
      </w:r>
    </w:p>
    <w:p w14:paraId="05C03191" w14:textId="00C161BE" w:rsidR="009816BC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Sugere-se que sejam convidados:</w:t>
      </w:r>
    </w:p>
    <w:p w14:paraId="393A42CC" w14:textId="77777777" w:rsidR="009816BC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1. Secretário de Estado da Fazenda do Maranhão;</w:t>
      </w:r>
    </w:p>
    <w:p w14:paraId="0B214BA7" w14:textId="77777777" w:rsidR="009816BC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2. Procurador-Geral do Estado do Maranhão;</w:t>
      </w:r>
    </w:p>
    <w:p w14:paraId="175FFA58" w14:textId="77777777" w:rsidR="009816BC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3. representantes da Secretaria Adjunta de Administração Tributária da SEFAZ;</w:t>
      </w:r>
    </w:p>
    <w:p w14:paraId="5813D00B" w14:textId="77777777" w:rsidR="009816BC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4. representantes dos Agentes da Receita Estadual;</w:t>
      </w:r>
    </w:p>
    <w:p w14:paraId="0B211A2E" w14:textId="77777777" w:rsidR="009816BC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5. representantes do SINTAF/MA;</w:t>
      </w:r>
    </w:p>
    <w:p w14:paraId="0FF60492" w14:textId="77777777" w:rsidR="009816BC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6. representantes dos Auditores Fiscais da Receita Estadual, caso a comissão entenda pertinente;</w:t>
      </w:r>
    </w:p>
    <w:p w14:paraId="6C1A0ECE" w14:textId="77777777" w:rsidR="009816BC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7. representantes da Comissão de Constituição, Justiça e Cidadania da Assembleia Legislativa;</w:t>
      </w:r>
    </w:p>
    <w:p w14:paraId="16D5DD3E" w14:textId="15CF5439" w:rsidR="009816BC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8. representantes da Comissão de Administração Pública, Seguridade Social e Relações de Trabalho, caso aplicável.</w:t>
      </w:r>
    </w:p>
    <w:p w14:paraId="1B368DB4" w14:textId="77777777" w:rsid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A Administração Tributária Estadual exerce papel essencial para a arrecadação, o financiamento das políticas públicas e o equilíbrio fiscal do Estado do Maranhão. Por essa razão, alterações legislativas que impactem atribuições funcionais de carreiras tributárias devem ser debatidas com cautela, transparência e fundamento técnico.</w:t>
      </w:r>
    </w:p>
    <w:p w14:paraId="58A4DF96" w14:textId="76F474ED" w:rsidR="009816BC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Representantes dos Agentes da Receita Estadual apresentaram preocupação quanto aos efeitos da Lei Estadual nº 12.577/2025, que teria alterado o §4º do art. 178 da Lei Estadual nº 7.799/2002, produzindo impacto direto sobre a competência da carreira para expedir Notificação de Lançamento e constituir crédito tributário.</w:t>
      </w:r>
    </w:p>
    <w:p w14:paraId="482266EB" w14:textId="77777777" w:rsidR="009816BC" w:rsidRPr="009816BC" w:rsidRDefault="009816BC" w:rsidP="009816BC">
      <w:pPr>
        <w:spacing w:line="360" w:lineRule="auto"/>
        <w:jc w:val="both"/>
        <w:rPr>
          <w:rFonts w:ascii="Times New Roman" w:hAnsi="Times New Roman"/>
          <w:bCs/>
        </w:rPr>
      </w:pPr>
    </w:p>
    <w:p w14:paraId="6AD30EA6" w14:textId="77777777" w:rsidR="009816BC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lastRenderedPageBreak/>
        <w:t>Conforme Nota Técnica elaborada pela Diretoria Jurídica do SINTAF/MA, a alteração teria gerado confusão entre lançamento de ofício, Notificação de Lançamento e Auto de Infração, resultando em possível esvaziamento das atribuições dos Agentes da Receita Estadual. A mesma Nota Técnica sustenta que a competência do ARE para constituição do crédito tributário encontra respaldo em legislação específica (Anexo VI, item 3, da Lei Estadual n° 10.765/17) e já teria sido reconhecida pela Procuradoria-Geral do Estado do Maranhão no Parecer nº 851/2022-PCF-PGE/MA, especialmente quanto ao lançamento por declaração no ITCMD.</w:t>
      </w:r>
    </w:p>
    <w:p w14:paraId="525E751F" w14:textId="77777777" w:rsid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A realização de audiência pública ou reunião técnica permitirá que a Assembleia Legislativa exerça seu papel institucional de mediação, fiscalização e aperfeiçoamento legislativo, sem transformar a matéria em conflito corporativo entre carreiras. O objetivo é buscar solução equilibrada, com respeito à legalidade, à segurança jurídica, à eficiência arrecadatória e à valorização dos servidores que integram a Administração Tributária Estadual.</w:t>
      </w:r>
    </w:p>
    <w:p w14:paraId="5B2290EE" w14:textId="77777777" w:rsid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A discussão também se mostra urgente diante do contexto da reforma tributária e da necessidade de adequação das administrações tributárias estaduais ao novo modelo nacional, evitando que alterações procedimentais produzam, por via indireta, supressão de competências funcionais previstas em lei especial.</w:t>
      </w:r>
    </w:p>
    <w:p w14:paraId="75EB382B" w14:textId="3E158881" w:rsidR="002F3F63" w:rsidRPr="009816BC" w:rsidRDefault="009816BC" w:rsidP="009816BC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816BC">
        <w:rPr>
          <w:rFonts w:ascii="Times New Roman" w:hAnsi="Times New Roman"/>
          <w:bCs/>
        </w:rPr>
        <w:t>Diante do exposto, requer-se a realização da audiência pública ou reunião técnica, com os convidados acima indicados, para construção de encaminhamento institucional e eventual proposta legislativa saneadora.</w:t>
      </w:r>
    </w:p>
    <w:p w14:paraId="365DEA9F" w14:textId="77777777" w:rsidR="009816BC" w:rsidRDefault="009816BC" w:rsidP="00E1294C">
      <w:pPr>
        <w:spacing w:line="360" w:lineRule="auto"/>
        <w:ind w:firstLine="993"/>
        <w:jc w:val="both"/>
        <w:rPr>
          <w:rFonts w:ascii="Times New Roman" w:hAnsi="Times New Roman" w:cs="Times New Roman"/>
          <w:bCs/>
        </w:rPr>
      </w:pPr>
    </w:p>
    <w:p w14:paraId="7E188757" w14:textId="581EF305" w:rsidR="00190D8E" w:rsidRPr="00216F68" w:rsidRDefault="009C5C25" w:rsidP="00E1294C">
      <w:pPr>
        <w:spacing w:line="360" w:lineRule="auto"/>
        <w:ind w:firstLine="993"/>
        <w:jc w:val="both"/>
        <w:rPr>
          <w:rFonts w:ascii="Times New Roman" w:hAnsi="Times New Roman" w:cs="Times New Roman"/>
          <w:bCs/>
        </w:rPr>
      </w:pPr>
      <w:r w:rsidRPr="00216F68">
        <w:rPr>
          <w:rFonts w:ascii="Times New Roman" w:hAnsi="Times New Roman" w:cs="Times New Roman"/>
          <w:bCs/>
        </w:rPr>
        <w:t>Assembleia Legislativa do Estado do Maranhão</w:t>
      </w:r>
      <w:r w:rsidR="007B1ED1" w:rsidRPr="00216F68">
        <w:rPr>
          <w:rFonts w:ascii="Times New Roman" w:hAnsi="Times New Roman" w:cs="Times New Roman"/>
          <w:bCs/>
        </w:rPr>
        <w:t xml:space="preserve">, </w:t>
      </w:r>
      <w:r w:rsidR="0039151E" w:rsidRPr="00216F68">
        <w:rPr>
          <w:rFonts w:ascii="Times New Roman" w:hAnsi="Times New Roman" w:cs="Times New Roman"/>
          <w:bCs/>
        </w:rPr>
        <w:t>01</w:t>
      </w:r>
      <w:r w:rsidR="002E3E57" w:rsidRPr="00216F68">
        <w:rPr>
          <w:rFonts w:ascii="Times New Roman" w:hAnsi="Times New Roman" w:cs="Times New Roman"/>
          <w:bCs/>
        </w:rPr>
        <w:t xml:space="preserve"> de</w:t>
      </w:r>
      <w:r w:rsidR="00B73E2D" w:rsidRPr="00216F68">
        <w:rPr>
          <w:rFonts w:ascii="Times New Roman" w:hAnsi="Times New Roman" w:cs="Times New Roman"/>
          <w:bCs/>
        </w:rPr>
        <w:t xml:space="preserve"> </w:t>
      </w:r>
      <w:r w:rsidR="00971459" w:rsidRPr="00216F68">
        <w:rPr>
          <w:rFonts w:ascii="Times New Roman" w:hAnsi="Times New Roman" w:cs="Times New Roman"/>
          <w:bCs/>
        </w:rPr>
        <w:t>ju</w:t>
      </w:r>
      <w:r w:rsidR="0039151E" w:rsidRPr="00216F68">
        <w:rPr>
          <w:rFonts w:ascii="Times New Roman" w:hAnsi="Times New Roman" w:cs="Times New Roman"/>
          <w:bCs/>
        </w:rPr>
        <w:t>lh</w:t>
      </w:r>
      <w:r w:rsidR="00971459" w:rsidRPr="00216F68">
        <w:rPr>
          <w:rFonts w:ascii="Times New Roman" w:hAnsi="Times New Roman" w:cs="Times New Roman"/>
          <w:bCs/>
        </w:rPr>
        <w:t>o</w:t>
      </w:r>
      <w:r w:rsidR="0060238E" w:rsidRPr="00216F68">
        <w:rPr>
          <w:rFonts w:ascii="Times New Roman" w:hAnsi="Times New Roman" w:cs="Times New Roman"/>
          <w:bCs/>
        </w:rPr>
        <w:t xml:space="preserve"> </w:t>
      </w:r>
      <w:r w:rsidR="007B1ED1" w:rsidRPr="00216F68">
        <w:rPr>
          <w:rFonts w:ascii="Times New Roman" w:hAnsi="Times New Roman" w:cs="Times New Roman"/>
          <w:bCs/>
        </w:rPr>
        <w:t>de</w:t>
      </w:r>
      <w:r w:rsidR="002F3F63" w:rsidRPr="00216F68">
        <w:rPr>
          <w:rFonts w:ascii="Times New Roman" w:hAnsi="Times New Roman" w:cs="Times New Roman"/>
          <w:bCs/>
        </w:rPr>
        <w:t xml:space="preserve"> </w:t>
      </w:r>
      <w:r w:rsidR="007B1ED1" w:rsidRPr="00216F68">
        <w:rPr>
          <w:rFonts w:ascii="Times New Roman" w:hAnsi="Times New Roman" w:cs="Times New Roman"/>
          <w:bCs/>
        </w:rPr>
        <w:t>202</w:t>
      </w:r>
      <w:r w:rsidR="00971459" w:rsidRPr="00216F68">
        <w:rPr>
          <w:rFonts w:ascii="Times New Roman" w:hAnsi="Times New Roman" w:cs="Times New Roman"/>
          <w:bCs/>
        </w:rPr>
        <w:t>6</w:t>
      </w:r>
      <w:r w:rsidR="002F3F63" w:rsidRPr="00216F68">
        <w:rPr>
          <w:rFonts w:ascii="Times New Roman" w:hAnsi="Times New Roman" w:cs="Times New Roman"/>
          <w:bCs/>
        </w:rPr>
        <w:t>.</w:t>
      </w:r>
    </w:p>
    <w:p w14:paraId="007F98C3" w14:textId="77777777" w:rsidR="00190D8E" w:rsidRPr="0018172B" w:rsidRDefault="00190D8E" w:rsidP="002F3F63">
      <w:pPr>
        <w:tabs>
          <w:tab w:val="left" w:pos="1134"/>
        </w:tabs>
        <w:spacing w:line="360" w:lineRule="auto"/>
        <w:rPr>
          <w:rFonts w:ascii="Times New Roman" w:hAnsi="Times New Roman" w:cs="Times New Roman"/>
        </w:rPr>
      </w:pPr>
    </w:p>
    <w:p w14:paraId="0452FC3E" w14:textId="77777777" w:rsidR="009816BC" w:rsidRDefault="009816BC" w:rsidP="00190D8E">
      <w:pPr>
        <w:jc w:val="center"/>
        <w:rPr>
          <w:rFonts w:ascii="Times New Roman" w:hAnsi="Times New Roman" w:cs="Times New Roman"/>
          <w:b/>
          <w:noProof/>
          <w:color w:val="000000" w:themeColor="text1"/>
        </w:rPr>
      </w:pPr>
    </w:p>
    <w:p w14:paraId="3F080867" w14:textId="4BFEAD81" w:rsidR="00F92A35" w:rsidRPr="0018172B" w:rsidRDefault="0018172B" w:rsidP="00190D8E">
      <w:pPr>
        <w:jc w:val="center"/>
        <w:rPr>
          <w:rFonts w:ascii="Times New Roman" w:hAnsi="Times New Roman" w:cs="Times New Roman"/>
          <w:b/>
          <w:noProof/>
          <w:color w:val="000000" w:themeColor="text1"/>
        </w:rPr>
      </w:pPr>
      <w:r w:rsidRPr="0018172B">
        <w:rPr>
          <w:rFonts w:ascii="Times New Roman" w:hAnsi="Times New Roman" w:cs="Times New Roman"/>
          <w:b/>
          <w:noProof/>
          <w:color w:val="000000" w:themeColor="text1"/>
        </w:rPr>
        <w:t xml:space="preserve">DR. YGLÉSIO </w:t>
      </w:r>
    </w:p>
    <w:p w14:paraId="5ED29B80" w14:textId="52FDA850" w:rsidR="0018172B" w:rsidRPr="0018172B" w:rsidRDefault="0018172B" w:rsidP="00190D8E">
      <w:pPr>
        <w:jc w:val="center"/>
        <w:rPr>
          <w:rFonts w:ascii="Times New Roman" w:hAnsi="Times New Roman" w:cs="Times New Roman"/>
          <w:lang w:val="en-US"/>
        </w:rPr>
      </w:pPr>
      <w:r w:rsidRPr="0018172B">
        <w:rPr>
          <w:rFonts w:ascii="Times New Roman" w:hAnsi="Times New Roman" w:cs="Times New Roman"/>
          <w:b/>
          <w:noProof/>
          <w:color w:val="000000" w:themeColor="text1"/>
        </w:rPr>
        <w:t xml:space="preserve">Deputado Estadual </w:t>
      </w:r>
    </w:p>
    <w:sectPr w:rsidR="0018172B" w:rsidRPr="0018172B" w:rsidSect="00E021F2">
      <w:headerReference w:type="default" r:id="rId6"/>
      <w:pgSz w:w="11906" w:h="16838"/>
      <w:pgMar w:top="1418" w:right="1701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F24A6" w14:textId="77777777" w:rsidR="000C02A2" w:rsidRDefault="000C02A2" w:rsidP="00F92A35">
      <w:r>
        <w:separator/>
      </w:r>
    </w:p>
  </w:endnote>
  <w:endnote w:type="continuationSeparator" w:id="0">
    <w:p w14:paraId="78230462" w14:textId="77777777" w:rsidR="000C02A2" w:rsidRDefault="000C02A2" w:rsidP="00F92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26113" w14:textId="77777777" w:rsidR="000C02A2" w:rsidRDefault="000C02A2" w:rsidP="00F92A35">
      <w:r>
        <w:separator/>
      </w:r>
    </w:p>
  </w:footnote>
  <w:footnote w:type="continuationSeparator" w:id="0">
    <w:p w14:paraId="70118056" w14:textId="77777777" w:rsidR="000C02A2" w:rsidRDefault="000C02A2" w:rsidP="00F92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AEB00" w14:textId="3C6887CD" w:rsidR="00F92A35" w:rsidRDefault="002F3F63" w:rsidP="002F3F63">
    <w:pPr>
      <w:tabs>
        <w:tab w:val="center" w:pos="4252"/>
        <w:tab w:val="right" w:pos="8504"/>
      </w:tabs>
      <w:spacing w:line="192" w:lineRule="auto"/>
      <w:jc w:val="center"/>
      <w:rPr>
        <w:color w:val="000000" w:themeColor="text1"/>
      </w:rPr>
    </w:pPr>
    <w:r>
      <w:rPr>
        <w:noProof/>
      </w:rPr>
      <w:drawing>
        <wp:inline distT="0" distB="0" distL="0" distR="0" wp14:anchorId="192B1AB2" wp14:editId="7AA030CF">
          <wp:extent cx="838200" cy="835406"/>
          <wp:effectExtent l="0" t="0" r="0" b="3175"/>
          <wp:docPr id="8" name="Imagem 8" descr="Image result for BRASÃO MARANHÃ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ASÃO MARANHÃO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467" cy="850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062AD4" w14:textId="77777777" w:rsidR="00F92A35" w:rsidRDefault="00F92A35" w:rsidP="00F92A35">
    <w:pPr>
      <w:tabs>
        <w:tab w:val="center" w:pos="4252"/>
        <w:tab w:val="right" w:pos="8504"/>
      </w:tabs>
      <w:spacing w:line="192" w:lineRule="auto"/>
      <w:jc w:val="center"/>
      <w:rPr>
        <w:color w:val="000000" w:themeColor="text1"/>
      </w:rPr>
    </w:pPr>
  </w:p>
  <w:p w14:paraId="54A5D9F6" w14:textId="77777777" w:rsidR="00F92A35" w:rsidRPr="007B1ED1" w:rsidRDefault="00F92A35" w:rsidP="00F92A35">
    <w:pPr>
      <w:tabs>
        <w:tab w:val="center" w:pos="4252"/>
        <w:tab w:val="right" w:pos="8504"/>
      </w:tabs>
      <w:spacing w:line="192" w:lineRule="auto"/>
      <w:jc w:val="center"/>
      <w:rPr>
        <w:rFonts w:ascii="Times New Roman" w:hAnsi="Times New Roman" w:cs="Times New Roman"/>
        <w:b/>
        <w:color w:val="000000" w:themeColor="text1"/>
      </w:rPr>
    </w:pPr>
    <w:r w:rsidRPr="007B1ED1">
      <w:rPr>
        <w:rFonts w:ascii="Times New Roman" w:hAnsi="Times New Roman" w:cs="Times New Roman"/>
        <w:b/>
        <w:color w:val="000000" w:themeColor="text1"/>
      </w:rPr>
      <w:t>ESTADO DO MARANHÃO</w:t>
    </w:r>
  </w:p>
  <w:p w14:paraId="79A78F20" w14:textId="71F2E786" w:rsidR="00F92A35" w:rsidRPr="007B1ED1" w:rsidRDefault="00EA6D06" w:rsidP="00F92A35">
    <w:pPr>
      <w:tabs>
        <w:tab w:val="center" w:pos="4252"/>
        <w:tab w:val="right" w:pos="8504"/>
      </w:tabs>
      <w:jc w:val="center"/>
      <w:rPr>
        <w:rFonts w:ascii="Times New Roman" w:hAnsi="Times New Roman" w:cs="Times New Roman"/>
        <w:b/>
        <w:color w:val="000000" w:themeColor="text1"/>
      </w:rPr>
    </w:pPr>
    <w:r w:rsidRPr="007B1ED1">
      <w:rPr>
        <w:rFonts w:ascii="Times New Roman" w:hAnsi="Times New Roman" w:cs="Times New Roman"/>
        <w:b/>
        <w:color w:val="000000" w:themeColor="text1"/>
      </w:rPr>
      <w:t>ASSEMBLEIA LEGISLATIVA</w:t>
    </w:r>
  </w:p>
  <w:p w14:paraId="2C2AB9E2" w14:textId="1BF8915B" w:rsidR="00F92A35" w:rsidRPr="007B1ED1" w:rsidRDefault="00F92A35" w:rsidP="00F92A35">
    <w:pPr>
      <w:tabs>
        <w:tab w:val="center" w:pos="4252"/>
        <w:tab w:val="right" w:pos="8504"/>
      </w:tabs>
      <w:jc w:val="center"/>
      <w:rPr>
        <w:rFonts w:ascii="Times New Roman" w:hAnsi="Times New Roman" w:cs="Times New Roman"/>
        <w:b/>
        <w:color w:val="000000" w:themeColor="text1"/>
      </w:rPr>
    </w:pPr>
    <w:r w:rsidRPr="007B1ED1">
      <w:rPr>
        <w:rFonts w:ascii="Times New Roman" w:hAnsi="Times New Roman" w:cs="Times New Roman"/>
        <w:b/>
        <w:color w:val="000000" w:themeColor="text1"/>
      </w:rPr>
      <w:t>GAB</w:t>
    </w:r>
    <w:r w:rsidR="002F3F63" w:rsidRPr="007B1ED1">
      <w:rPr>
        <w:rFonts w:ascii="Times New Roman" w:hAnsi="Times New Roman" w:cs="Times New Roman"/>
        <w:b/>
        <w:color w:val="000000" w:themeColor="text1"/>
      </w:rPr>
      <w:t>INETE</w:t>
    </w:r>
    <w:r w:rsidRPr="007B1ED1">
      <w:rPr>
        <w:rFonts w:ascii="Times New Roman" w:hAnsi="Times New Roman" w:cs="Times New Roman"/>
        <w:b/>
        <w:color w:val="000000" w:themeColor="text1"/>
      </w:rPr>
      <w:t xml:space="preserve"> DO DEP</w:t>
    </w:r>
    <w:r w:rsidR="002F3F63" w:rsidRPr="007B1ED1">
      <w:rPr>
        <w:rFonts w:ascii="Times New Roman" w:hAnsi="Times New Roman" w:cs="Times New Roman"/>
        <w:b/>
        <w:color w:val="000000" w:themeColor="text1"/>
      </w:rPr>
      <w:t>UTADO</w:t>
    </w:r>
    <w:r w:rsidR="007B1ED1" w:rsidRPr="007B1ED1">
      <w:rPr>
        <w:rFonts w:ascii="Times New Roman" w:hAnsi="Times New Roman" w:cs="Times New Roman"/>
        <w:b/>
        <w:color w:val="000000" w:themeColor="text1"/>
      </w:rPr>
      <w:t xml:space="preserve"> ESTADUAL</w:t>
    </w:r>
    <w:r w:rsidRPr="007B1ED1">
      <w:rPr>
        <w:rFonts w:ascii="Times New Roman" w:hAnsi="Times New Roman" w:cs="Times New Roman"/>
        <w:b/>
        <w:color w:val="000000" w:themeColor="text1"/>
      </w:rPr>
      <w:t xml:space="preserve"> DR. YGLÉSIO </w:t>
    </w:r>
  </w:p>
  <w:p w14:paraId="7E29E54B" w14:textId="77777777" w:rsidR="00F92A35" w:rsidRDefault="00F92A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A35"/>
    <w:rsid w:val="000969A0"/>
    <w:rsid w:val="000C02A2"/>
    <w:rsid w:val="000C6283"/>
    <w:rsid w:val="000E7BBA"/>
    <w:rsid w:val="000F57AD"/>
    <w:rsid w:val="00150D6B"/>
    <w:rsid w:val="00161514"/>
    <w:rsid w:val="0018172B"/>
    <w:rsid w:val="00190D8E"/>
    <w:rsid w:val="001F364F"/>
    <w:rsid w:val="00216F68"/>
    <w:rsid w:val="0025098B"/>
    <w:rsid w:val="002E3E57"/>
    <w:rsid w:val="002F3F63"/>
    <w:rsid w:val="003121D6"/>
    <w:rsid w:val="00321D7B"/>
    <w:rsid w:val="00337F6A"/>
    <w:rsid w:val="0039151E"/>
    <w:rsid w:val="003C3B65"/>
    <w:rsid w:val="003D22F3"/>
    <w:rsid w:val="003E3C97"/>
    <w:rsid w:val="00422F02"/>
    <w:rsid w:val="00501E2E"/>
    <w:rsid w:val="0052054D"/>
    <w:rsid w:val="00525014"/>
    <w:rsid w:val="005368D9"/>
    <w:rsid w:val="005A4412"/>
    <w:rsid w:val="005F2A97"/>
    <w:rsid w:val="006019CE"/>
    <w:rsid w:val="0060238E"/>
    <w:rsid w:val="006C56DC"/>
    <w:rsid w:val="006D50A2"/>
    <w:rsid w:val="00702004"/>
    <w:rsid w:val="00705D98"/>
    <w:rsid w:val="00777CCC"/>
    <w:rsid w:val="007B1ED1"/>
    <w:rsid w:val="007D36E0"/>
    <w:rsid w:val="007E6487"/>
    <w:rsid w:val="0082431F"/>
    <w:rsid w:val="00863A2F"/>
    <w:rsid w:val="008735DB"/>
    <w:rsid w:val="00912D1F"/>
    <w:rsid w:val="0094729C"/>
    <w:rsid w:val="00971459"/>
    <w:rsid w:val="009816BC"/>
    <w:rsid w:val="009C5C25"/>
    <w:rsid w:val="009C5EE9"/>
    <w:rsid w:val="009D0810"/>
    <w:rsid w:val="009D1B58"/>
    <w:rsid w:val="009F2068"/>
    <w:rsid w:val="00A644E6"/>
    <w:rsid w:val="00AC514A"/>
    <w:rsid w:val="00AC66FC"/>
    <w:rsid w:val="00AE5C41"/>
    <w:rsid w:val="00B73E2D"/>
    <w:rsid w:val="00B962BD"/>
    <w:rsid w:val="00C37141"/>
    <w:rsid w:val="00C64CBE"/>
    <w:rsid w:val="00CA2081"/>
    <w:rsid w:val="00D45C7B"/>
    <w:rsid w:val="00DF2D7D"/>
    <w:rsid w:val="00DF2F8E"/>
    <w:rsid w:val="00E021F2"/>
    <w:rsid w:val="00E043E0"/>
    <w:rsid w:val="00E1294C"/>
    <w:rsid w:val="00E22113"/>
    <w:rsid w:val="00E26DC3"/>
    <w:rsid w:val="00E73431"/>
    <w:rsid w:val="00E941AA"/>
    <w:rsid w:val="00EA6D06"/>
    <w:rsid w:val="00F87200"/>
    <w:rsid w:val="00F92A35"/>
    <w:rsid w:val="00F93BC9"/>
    <w:rsid w:val="00F96880"/>
    <w:rsid w:val="00FB3AB1"/>
    <w:rsid w:val="00FC0707"/>
    <w:rsid w:val="00FC5039"/>
    <w:rsid w:val="00FF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0160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F92A35"/>
    <w:rPr>
      <w:rFonts w:ascii="Century" w:eastAsiaTheme="minorHAnsi" w:hAnsi="Century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2A35"/>
    <w:pPr>
      <w:tabs>
        <w:tab w:val="center" w:pos="4419"/>
        <w:tab w:val="right" w:pos="8838"/>
      </w:tabs>
      <w:ind w:firstLine="1134"/>
    </w:pPr>
    <w:rPr>
      <w:rFonts w:ascii="Times New Roman" w:eastAsia="Times New Roman" w:hAnsi="Times New Roman" w:cs="Times New Roman"/>
      <w:color w:val="000000"/>
      <w:lang w:eastAsia="ja-JP"/>
    </w:rPr>
  </w:style>
  <w:style w:type="character" w:customStyle="1" w:styleId="CabealhoChar">
    <w:name w:val="Cabeçalho Char"/>
    <w:basedOn w:val="Fontepargpadro"/>
    <w:link w:val="Cabealho"/>
    <w:uiPriority w:val="99"/>
    <w:rsid w:val="00F92A35"/>
    <w:rPr>
      <w:rFonts w:ascii="Times New Roman" w:eastAsia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F92A35"/>
    <w:pPr>
      <w:tabs>
        <w:tab w:val="center" w:pos="4419"/>
        <w:tab w:val="right" w:pos="8838"/>
      </w:tabs>
      <w:ind w:firstLine="1134"/>
    </w:pPr>
    <w:rPr>
      <w:rFonts w:ascii="Times New Roman" w:eastAsia="Times New Roman" w:hAnsi="Times New Roman" w:cs="Times New Roman"/>
      <w:color w:val="000000"/>
      <w:lang w:eastAsia="ja-JP"/>
    </w:rPr>
  </w:style>
  <w:style w:type="character" w:customStyle="1" w:styleId="RodapChar">
    <w:name w:val="Rodapé Char"/>
    <w:basedOn w:val="Fontepargpadro"/>
    <w:link w:val="Rodap"/>
    <w:uiPriority w:val="99"/>
    <w:rsid w:val="00F92A35"/>
    <w:rPr>
      <w:rFonts w:ascii="Times New Roman" w:eastAsia="Times New Roman" w:hAnsi="Times New Roman" w:cs="Times New Roman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20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2068"/>
    <w:rPr>
      <w:rFonts w:ascii="Segoe UI" w:eastAsiaTheme="minorHAns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521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</dc:creator>
  <cp:keywords/>
  <dc:description/>
  <cp:lastModifiedBy>Maíra Cardoso Leite de Sá</cp:lastModifiedBy>
  <cp:revision>10</cp:revision>
  <cp:lastPrinted>2023-10-10T13:34:00Z</cp:lastPrinted>
  <dcterms:created xsi:type="dcterms:W3CDTF">2024-03-20T17:41:00Z</dcterms:created>
  <dcterms:modified xsi:type="dcterms:W3CDTF">2026-07-01T16:17:00Z</dcterms:modified>
</cp:coreProperties>
</file>