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5A67C" w14:textId="7A39C82A" w:rsidR="003A2603" w:rsidRDefault="003A2603" w:rsidP="003A2603">
      <w:pPr>
        <w:jc w:val="center"/>
        <w:rPr>
          <w:rFonts w:ascii="Times New Roman" w:hAnsi="Times New Roman"/>
          <w:b/>
          <w:color w:val="000000" w:themeColor="text1"/>
        </w:rPr>
      </w:pPr>
      <w:r w:rsidRPr="003A2603">
        <w:rPr>
          <w:rFonts w:ascii="Times New Roman" w:hAnsi="Times New Roman"/>
          <w:b/>
          <w:color w:val="000000" w:themeColor="text1"/>
        </w:rPr>
        <w:t>PROJETO DE LEI Nº _____, DE 2026</w:t>
      </w:r>
    </w:p>
    <w:p w14:paraId="31E8AE3E" w14:textId="77777777" w:rsidR="003A2603" w:rsidRDefault="003A2603" w:rsidP="003A2603">
      <w:pPr>
        <w:rPr>
          <w:rFonts w:ascii="Times New Roman" w:hAnsi="Times New Roman"/>
          <w:bCs/>
          <w:color w:val="000000" w:themeColor="text1"/>
        </w:rPr>
      </w:pPr>
    </w:p>
    <w:p w14:paraId="1B95C7E6" w14:textId="77777777" w:rsidR="003A2603" w:rsidRDefault="003A2603" w:rsidP="003A2603">
      <w:pPr>
        <w:rPr>
          <w:rFonts w:ascii="Times New Roman" w:hAnsi="Times New Roman"/>
          <w:bCs/>
          <w:color w:val="000000" w:themeColor="text1"/>
        </w:rPr>
      </w:pPr>
    </w:p>
    <w:p w14:paraId="5B8854EF" w14:textId="76BB87D0" w:rsidR="00A9732E" w:rsidRPr="00A9732E" w:rsidRDefault="00A9732E" w:rsidP="00A9732E">
      <w:pPr>
        <w:ind w:left="3402"/>
        <w:rPr>
          <w:rFonts w:ascii="Times New Roman" w:hAnsi="Times New Roman"/>
          <w:b/>
          <w:color w:val="000000" w:themeColor="text1"/>
        </w:rPr>
      </w:pPr>
      <w:r w:rsidRPr="00A9732E">
        <w:rPr>
          <w:rFonts w:ascii="Times New Roman" w:hAnsi="Times New Roman"/>
          <w:b/>
          <w:color w:val="000000" w:themeColor="text1"/>
        </w:rPr>
        <w:t>INSTITUI A POLÍTICA ESTADUAL DE PROMOÇÃO, PROTEÇÃO E APOIO AO ALEITAMENTO MATERNO, DE INCENTIVO À DOAÇÃO DE LEITE HUMANO E DE TRANSPARÊNCIA DOS ESTOQUES DA REDE DE BANCOS DE LEITE HUMANO NO ESTADO DO MARANHÃO, DENOMINADA REDELEITE MA, E DÁ OUTRAS PROVIDÊNCIAS.</w:t>
      </w:r>
    </w:p>
    <w:p w14:paraId="6DEA2A16" w14:textId="77777777" w:rsidR="00A9732E" w:rsidRDefault="00A9732E" w:rsidP="00A9732E">
      <w:pPr>
        <w:rPr>
          <w:rFonts w:ascii="Times New Roman" w:hAnsi="Times New Roman"/>
          <w:b/>
          <w:bCs/>
          <w:color w:val="000000" w:themeColor="text1"/>
        </w:rPr>
      </w:pPr>
    </w:p>
    <w:p w14:paraId="5C2AB616" w14:textId="77777777" w:rsidR="001F7C50" w:rsidRDefault="001F7C50" w:rsidP="00A9732E">
      <w:pPr>
        <w:rPr>
          <w:rFonts w:ascii="Times New Roman" w:hAnsi="Times New Roman"/>
          <w:b/>
          <w:bCs/>
          <w:color w:val="000000" w:themeColor="text1"/>
        </w:rPr>
      </w:pPr>
    </w:p>
    <w:p w14:paraId="09BC0286" w14:textId="77777777" w:rsidR="001F7C50" w:rsidRDefault="001F7C50" w:rsidP="00A9732E">
      <w:pPr>
        <w:rPr>
          <w:rFonts w:ascii="Times New Roman" w:hAnsi="Times New Roman"/>
          <w:b/>
          <w:bCs/>
          <w:color w:val="000000" w:themeColor="text1"/>
        </w:rPr>
      </w:pPr>
    </w:p>
    <w:p w14:paraId="6665B2AF" w14:textId="1356398A" w:rsidR="00A9732E" w:rsidRPr="00A9732E" w:rsidRDefault="00A9732E" w:rsidP="00A9732E">
      <w:pPr>
        <w:spacing w:line="360" w:lineRule="auto"/>
        <w:jc w:val="center"/>
        <w:rPr>
          <w:rFonts w:ascii="Times New Roman" w:hAnsi="Times New Roman"/>
          <w:bCs/>
          <w:color w:val="000000" w:themeColor="text1"/>
        </w:rPr>
      </w:pPr>
      <w:r w:rsidRPr="00A9732E">
        <w:rPr>
          <w:rFonts w:ascii="Times New Roman" w:hAnsi="Times New Roman"/>
          <w:b/>
          <w:bCs/>
          <w:color w:val="000000" w:themeColor="text1"/>
        </w:rPr>
        <w:t>CAPÍTULO I – DISPOSIÇÕES GERAIS</w:t>
      </w:r>
    </w:p>
    <w:p w14:paraId="6684D9E2"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
          <w:color w:val="000000" w:themeColor="text1"/>
        </w:rPr>
        <w:t>Art. 1º</w:t>
      </w:r>
      <w:r w:rsidRPr="00A9732E">
        <w:rPr>
          <w:rFonts w:ascii="Times New Roman" w:hAnsi="Times New Roman"/>
          <w:bCs/>
          <w:color w:val="000000" w:themeColor="text1"/>
        </w:rPr>
        <w:t xml:space="preserve"> Fica instituída, no âmbito do Estado do Maranhão, a Política Estadual de Incentivo, Promoção, Proteção e Apoio ao Aleitamento Materno, de Incentivo à Doação de Leite Humano e de Transparência dos Estoques da Rede de Bancos de Leite Humano, denominada </w:t>
      </w:r>
      <w:proofErr w:type="spellStart"/>
      <w:r w:rsidRPr="00A9732E">
        <w:rPr>
          <w:rFonts w:ascii="Times New Roman" w:hAnsi="Times New Roman"/>
          <w:bCs/>
          <w:color w:val="000000" w:themeColor="text1"/>
        </w:rPr>
        <w:t>RedeLeite</w:t>
      </w:r>
      <w:proofErr w:type="spellEnd"/>
      <w:r w:rsidRPr="00A9732E">
        <w:rPr>
          <w:rFonts w:ascii="Times New Roman" w:hAnsi="Times New Roman"/>
          <w:bCs/>
          <w:color w:val="000000" w:themeColor="text1"/>
        </w:rPr>
        <w:t xml:space="preserve"> MA.</w:t>
      </w:r>
    </w:p>
    <w:p w14:paraId="11A7AC0A"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
          <w:color w:val="000000" w:themeColor="text1"/>
        </w:rPr>
        <w:t>Parágrafo único.</w:t>
      </w:r>
      <w:r w:rsidRPr="00A9732E">
        <w:rPr>
          <w:rFonts w:ascii="Times New Roman" w:hAnsi="Times New Roman"/>
          <w:bCs/>
          <w:color w:val="000000" w:themeColor="text1"/>
        </w:rPr>
        <w:t xml:space="preserve"> A Política observará as normas do Sistema Único de Saúde – SUS, da vigilância sanitária e da Rede Brasileira de Bancos de Leite Humano, sem substituir a avaliação clínica ou os protocolos dos Bancos de Leite Humano – BLH e dos Postos de Coleta de Leite Humano – PCLH, sem prejuízo de outras normas que regulamentem a matéria.</w:t>
      </w:r>
    </w:p>
    <w:p w14:paraId="687FB58D"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
          <w:color w:val="000000" w:themeColor="text1"/>
        </w:rPr>
        <w:t>Art. 2º</w:t>
      </w:r>
      <w:r w:rsidRPr="00A9732E">
        <w:rPr>
          <w:rFonts w:ascii="Times New Roman" w:hAnsi="Times New Roman"/>
          <w:bCs/>
          <w:color w:val="000000" w:themeColor="text1"/>
        </w:rPr>
        <w:t xml:space="preserve"> São princípios da </w:t>
      </w:r>
      <w:proofErr w:type="spellStart"/>
      <w:r w:rsidRPr="00A9732E">
        <w:rPr>
          <w:rFonts w:ascii="Times New Roman" w:hAnsi="Times New Roman"/>
          <w:bCs/>
          <w:color w:val="000000" w:themeColor="text1"/>
        </w:rPr>
        <w:t>RedeLeite</w:t>
      </w:r>
      <w:proofErr w:type="spellEnd"/>
      <w:r w:rsidRPr="00A9732E">
        <w:rPr>
          <w:rFonts w:ascii="Times New Roman" w:hAnsi="Times New Roman"/>
          <w:bCs/>
          <w:color w:val="000000" w:themeColor="text1"/>
        </w:rPr>
        <w:t xml:space="preserve"> MA:</w:t>
      </w:r>
    </w:p>
    <w:p w14:paraId="0664CBBA"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 – </w:t>
      </w:r>
      <w:proofErr w:type="gramStart"/>
      <w:r w:rsidRPr="00A9732E">
        <w:rPr>
          <w:rFonts w:ascii="Times New Roman" w:hAnsi="Times New Roman"/>
          <w:bCs/>
          <w:color w:val="000000" w:themeColor="text1"/>
        </w:rPr>
        <w:t>a</w:t>
      </w:r>
      <w:proofErr w:type="gramEnd"/>
      <w:r w:rsidRPr="00A9732E">
        <w:rPr>
          <w:rFonts w:ascii="Times New Roman" w:hAnsi="Times New Roman"/>
          <w:bCs/>
          <w:color w:val="000000" w:themeColor="text1"/>
        </w:rPr>
        <w:t xml:space="preserve"> prioridade da alimentação da criança com o leite da própria mãe, sempre que possível e clinicamente indicado;</w:t>
      </w:r>
    </w:p>
    <w:p w14:paraId="63E84874"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II – </w:t>
      </w:r>
      <w:proofErr w:type="gramStart"/>
      <w:r w:rsidRPr="00A9732E">
        <w:rPr>
          <w:rFonts w:ascii="Times New Roman" w:hAnsi="Times New Roman"/>
          <w:bCs/>
          <w:color w:val="000000" w:themeColor="text1"/>
        </w:rPr>
        <w:t>a</w:t>
      </w:r>
      <w:proofErr w:type="gramEnd"/>
      <w:r w:rsidRPr="00A9732E">
        <w:rPr>
          <w:rFonts w:ascii="Times New Roman" w:hAnsi="Times New Roman"/>
          <w:bCs/>
          <w:color w:val="000000" w:themeColor="text1"/>
        </w:rPr>
        <w:t xml:space="preserve"> doação voluntária, gratuita, informada e exclusivamente do leite excedente às necessidades do próprio filho;</w:t>
      </w:r>
    </w:p>
    <w:p w14:paraId="61307895"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III – a promoção, a proteção e o apoio ao aleitamento materno, sem indução à </w:t>
      </w:r>
      <w:proofErr w:type="spellStart"/>
      <w:r w:rsidRPr="00A9732E">
        <w:rPr>
          <w:rFonts w:ascii="Times New Roman" w:hAnsi="Times New Roman"/>
          <w:bCs/>
          <w:color w:val="000000" w:themeColor="text1"/>
        </w:rPr>
        <w:t>hiperlactação</w:t>
      </w:r>
      <w:proofErr w:type="spellEnd"/>
      <w:r w:rsidRPr="00A9732E">
        <w:rPr>
          <w:rFonts w:ascii="Times New Roman" w:hAnsi="Times New Roman"/>
          <w:bCs/>
          <w:color w:val="000000" w:themeColor="text1"/>
        </w:rPr>
        <w:t xml:space="preserve"> ou à retirada excessiva de leite;</w:t>
      </w:r>
    </w:p>
    <w:p w14:paraId="1B8EE24B"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IV – </w:t>
      </w:r>
      <w:proofErr w:type="gramStart"/>
      <w:r w:rsidRPr="00A9732E">
        <w:rPr>
          <w:rFonts w:ascii="Times New Roman" w:hAnsi="Times New Roman"/>
          <w:bCs/>
          <w:color w:val="000000" w:themeColor="text1"/>
        </w:rPr>
        <w:t>a</w:t>
      </w:r>
      <w:proofErr w:type="gramEnd"/>
      <w:r w:rsidRPr="00A9732E">
        <w:rPr>
          <w:rFonts w:ascii="Times New Roman" w:hAnsi="Times New Roman"/>
          <w:bCs/>
          <w:color w:val="000000" w:themeColor="text1"/>
        </w:rPr>
        <w:t xml:space="preserve"> segurança sanitária, a rastreabilidade e o controle de qualidade em todas as etapas;</w:t>
      </w:r>
    </w:p>
    <w:p w14:paraId="538C1BE1"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lastRenderedPageBreak/>
        <w:t>V – a regionalização, a equidade e a eficiência na articulação entre maternidades, unidades neonatais, BLH, PCLH e atenção primária;</w:t>
      </w:r>
    </w:p>
    <w:p w14:paraId="41166F43"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VI – </w:t>
      </w:r>
      <w:proofErr w:type="gramStart"/>
      <w:r w:rsidRPr="00A9732E">
        <w:rPr>
          <w:rFonts w:ascii="Times New Roman" w:hAnsi="Times New Roman"/>
          <w:bCs/>
          <w:color w:val="000000" w:themeColor="text1"/>
        </w:rPr>
        <w:t>a</w:t>
      </w:r>
      <w:proofErr w:type="gramEnd"/>
      <w:r w:rsidRPr="00A9732E">
        <w:rPr>
          <w:rFonts w:ascii="Times New Roman" w:hAnsi="Times New Roman"/>
          <w:bCs/>
          <w:color w:val="000000" w:themeColor="text1"/>
        </w:rPr>
        <w:t xml:space="preserve"> transparência ativa dos estoques em formato agregado, compreensível e atualizado;</w:t>
      </w:r>
    </w:p>
    <w:p w14:paraId="14B74618" w14:textId="64674F59"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VII – a proteção da privacidade, da autodeterminação informativa e da segurança dos dados pessoais; </w:t>
      </w:r>
    </w:p>
    <w:p w14:paraId="5608B7A5"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VIII – a acessibilidade, o acolhimento, o respeito à diversidade e a comunicação não culpabilizante.</w:t>
      </w:r>
    </w:p>
    <w:p w14:paraId="277A263C" w14:textId="77777777" w:rsidR="00A9732E" w:rsidRPr="00A9732E" w:rsidRDefault="00A9732E" w:rsidP="00A9732E">
      <w:pPr>
        <w:spacing w:line="360" w:lineRule="auto"/>
        <w:ind w:firstLine="708"/>
        <w:rPr>
          <w:rFonts w:ascii="Times New Roman" w:hAnsi="Times New Roman"/>
          <w:bCs/>
          <w:color w:val="000000" w:themeColor="text1"/>
        </w:rPr>
      </w:pPr>
      <w:r w:rsidRPr="00271363">
        <w:rPr>
          <w:rFonts w:ascii="Times New Roman" w:hAnsi="Times New Roman"/>
          <w:b/>
          <w:color w:val="000000" w:themeColor="text1"/>
        </w:rPr>
        <w:t>Art. 3º</w:t>
      </w:r>
      <w:r w:rsidRPr="00A9732E">
        <w:rPr>
          <w:rFonts w:ascii="Times New Roman" w:hAnsi="Times New Roman"/>
          <w:bCs/>
          <w:color w:val="000000" w:themeColor="text1"/>
        </w:rPr>
        <w:t xml:space="preserve"> São objetivos da </w:t>
      </w:r>
      <w:proofErr w:type="spellStart"/>
      <w:r w:rsidRPr="00A9732E">
        <w:rPr>
          <w:rFonts w:ascii="Times New Roman" w:hAnsi="Times New Roman"/>
          <w:bCs/>
          <w:color w:val="000000" w:themeColor="text1"/>
        </w:rPr>
        <w:t>RedeLeite</w:t>
      </w:r>
      <w:proofErr w:type="spellEnd"/>
      <w:r w:rsidRPr="00A9732E">
        <w:rPr>
          <w:rFonts w:ascii="Times New Roman" w:hAnsi="Times New Roman"/>
          <w:bCs/>
          <w:color w:val="000000" w:themeColor="text1"/>
        </w:rPr>
        <w:t xml:space="preserve"> MA:</w:t>
      </w:r>
    </w:p>
    <w:p w14:paraId="141997DA"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 – </w:t>
      </w:r>
      <w:proofErr w:type="gramStart"/>
      <w:r w:rsidRPr="00A9732E">
        <w:rPr>
          <w:rFonts w:ascii="Times New Roman" w:hAnsi="Times New Roman"/>
          <w:bCs/>
          <w:color w:val="000000" w:themeColor="text1"/>
        </w:rPr>
        <w:t>ampliar</w:t>
      </w:r>
      <w:proofErr w:type="gramEnd"/>
      <w:r w:rsidRPr="00A9732E">
        <w:rPr>
          <w:rFonts w:ascii="Times New Roman" w:hAnsi="Times New Roman"/>
          <w:bCs/>
          <w:color w:val="000000" w:themeColor="text1"/>
        </w:rPr>
        <w:t xml:space="preserve"> a captação segura de leite humano excedente e reduzir barreiras enfrentadas pelas </w:t>
      </w:r>
      <w:proofErr w:type="gramStart"/>
      <w:r w:rsidRPr="00A9732E">
        <w:rPr>
          <w:rFonts w:ascii="Times New Roman" w:hAnsi="Times New Roman"/>
          <w:bCs/>
          <w:color w:val="000000" w:themeColor="text1"/>
        </w:rPr>
        <w:t>potenciais doadoras</w:t>
      </w:r>
      <w:proofErr w:type="gramEnd"/>
      <w:r w:rsidRPr="00A9732E">
        <w:rPr>
          <w:rFonts w:ascii="Times New Roman" w:hAnsi="Times New Roman"/>
          <w:bCs/>
          <w:color w:val="000000" w:themeColor="text1"/>
        </w:rPr>
        <w:t>;</w:t>
      </w:r>
    </w:p>
    <w:p w14:paraId="34E347AF"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II – </w:t>
      </w:r>
      <w:proofErr w:type="gramStart"/>
      <w:r w:rsidRPr="00A9732E">
        <w:rPr>
          <w:rFonts w:ascii="Times New Roman" w:hAnsi="Times New Roman"/>
          <w:bCs/>
          <w:color w:val="000000" w:themeColor="text1"/>
        </w:rPr>
        <w:t>fortalecer</w:t>
      </w:r>
      <w:proofErr w:type="gramEnd"/>
      <w:r w:rsidRPr="00A9732E">
        <w:rPr>
          <w:rFonts w:ascii="Times New Roman" w:hAnsi="Times New Roman"/>
          <w:bCs/>
          <w:color w:val="000000" w:themeColor="text1"/>
        </w:rPr>
        <w:t xml:space="preserve"> a assistência à amamentação e o encaminhamento oportuno de intercorrências comuns da lactação e das mamas;</w:t>
      </w:r>
    </w:p>
    <w:p w14:paraId="0E41D4FA"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III – facilitar a localização do serviço habilitado mais próximo, conforme a rede assistencial e a disponibilidade;</w:t>
      </w:r>
    </w:p>
    <w:p w14:paraId="0E942A7A"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IV – </w:t>
      </w:r>
      <w:proofErr w:type="gramStart"/>
      <w:r w:rsidRPr="00A9732E">
        <w:rPr>
          <w:rFonts w:ascii="Times New Roman" w:hAnsi="Times New Roman"/>
          <w:bCs/>
          <w:color w:val="000000" w:themeColor="text1"/>
        </w:rPr>
        <w:t>dar</w:t>
      </w:r>
      <w:proofErr w:type="gramEnd"/>
      <w:r w:rsidRPr="00A9732E">
        <w:rPr>
          <w:rFonts w:ascii="Times New Roman" w:hAnsi="Times New Roman"/>
          <w:bCs/>
          <w:color w:val="000000" w:themeColor="text1"/>
        </w:rPr>
        <w:t xml:space="preserve"> visibilidade aos níveis gerais e segmentados de estoque, preservados o sigilo e a segurança operacional;</w:t>
      </w:r>
    </w:p>
    <w:p w14:paraId="652E51E0"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V – </w:t>
      </w:r>
      <w:proofErr w:type="gramStart"/>
      <w:r w:rsidRPr="00A9732E">
        <w:rPr>
          <w:rFonts w:ascii="Times New Roman" w:hAnsi="Times New Roman"/>
          <w:bCs/>
          <w:color w:val="000000" w:themeColor="text1"/>
        </w:rPr>
        <w:t>apoiar</w:t>
      </w:r>
      <w:proofErr w:type="gramEnd"/>
      <w:r w:rsidRPr="00A9732E">
        <w:rPr>
          <w:rFonts w:ascii="Times New Roman" w:hAnsi="Times New Roman"/>
          <w:bCs/>
          <w:color w:val="000000" w:themeColor="text1"/>
        </w:rPr>
        <w:t xml:space="preserve"> a coordenação logística, o planejamento regional e a resposta ao desabastecimento;</w:t>
      </w:r>
    </w:p>
    <w:p w14:paraId="3D07EA1F" w14:textId="77777777" w:rsidR="00A9732E" w:rsidRPr="00A9732E" w:rsidRDefault="00A9732E" w:rsidP="00A9732E">
      <w:pPr>
        <w:spacing w:line="360" w:lineRule="auto"/>
        <w:ind w:left="708"/>
        <w:rPr>
          <w:rFonts w:ascii="Times New Roman" w:hAnsi="Times New Roman"/>
          <w:bCs/>
          <w:color w:val="000000" w:themeColor="text1"/>
        </w:rPr>
      </w:pPr>
      <w:r w:rsidRPr="00A9732E">
        <w:rPr>
          <w:rFonts w:ascii="Times New Roman" w:hAnsi="Times New Roman"/>
          <w:bCs/>
          <w:color w:val="000000" w:themeColor="text1"/>
        </w:rPr>
        <w:t xml:space="preserve">VI – </w:t>
      </w:r>
      <w:proofErr w:type="gramStart"/>
      <w:r w:rsidRPr="00A9732E">
        <w:rPr>
          <w:rFonts w:ascii="Times New Roman" w:hAnsi="Times New Roman"/>
          <w:bCs/>
          <w:color w:val="000000" w:themeColor="text1"/>
        </w:rPr>
        <w:t>estimular</w:t>
      </w:r>
      <w:proofErr w:type="gramEnd"/>
      <w:r w:rsidRPr="00A9732E">
        <w:rPr>
          <w:rFonts w:ascii="Times New Roman" w:hAnsi="Times New Roman"/>
          <w:bCs/>
          <w:color w:val="000000" w:themeColor="text1"/>
        </w:rPr>
        <w:t xml:space="preserve"> a cooperação entre entes públicos, instituições de ensino, serviços de saúde e sociedade civil; e</w:t>
      </w:r>
    </w:p>
    <w:p w14:paraId="73AD88BE" w14:textId="77777777" w:rsid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VII – produzir indicadores de cobertura, oportunidade, equidade, qualidade e impacto.</w:t>
      </w:r>
    </w:p>
    <w:p w14:paraId="576A8D01" w14:textId="77777777" w:rsidR="001F7C50" w:rsidRPr="00A9732E" w:rsidRDefault="001F7C50" w:rsidP="00A9732E">
      <w:pPr>
        <w:spacing w:line="360" w:lineRule="auto"/>
        <w:ind w:firstLine="708"/>
        <w:rPr>
          <w:rFonts w:ascii="Times New Roman" w:hAnsi="Times New Roman"/>
          <w:bCs/>
          <w:color w:val="000000" w:themeColor="text1"/>
        </w:rPr>
      </w:pPr>
    </w:p>
    <w:p w14:paraId="6363C6ED" w14:textId="77777777" w:rsidR="00A9732E" w:rsidRPr="00A9732E" w:rsidRDefault="00A9732E" w:rsidP="00271363">
      <w:pPr>
        <w:spacing w:line="360" w:lineRule="auto"/>
        <w:jc w:val="center"/>
        <w:rPr>
          <w:rFonts w:ascii="Times New Roman" w:hAnsi="Times New Roman"/>
          <w:bCs/>
          <w:color w:val="000000" w:themeColor="text1"/>
        </w:rPr>
      </w:pPr>
      <w:r w:rsidRPr="00A9732E">
        <w:rPr>
          <w:rFonts w:ascii="Times New Roman" w:hAnsi="Times New Roman"/>
          <w:b/>
          <w:bCs/>
          <w:color w:val="000000" w:themeColor="text1"/>
        </w:rPr>
        <w:t>CAPÍTULO II – DOS INSTRUMENTOS DA POLÍTICA</w:t>
      </w:r>
    </w:p>
    <w:p w14:paraId="05D34D24" w14:textId="77777777" w:rsidR="00A9732E" w:rsidRPr="00A9732E" w:rsidRDefault="00A9732E" w:rsidP="00A9732E">
      <w:pPr>
        <w:spacing w:line="360" w:lineRule="auto"/>
        <w:ind w:firstLine="708"/>
        <w:rPr>
          <w:rFonts w:ascii="Times New Roman" w:hAnsi="Times New Roman"/>
          <w:bCs/>
          <w:color w:val="000000" w:themeColor="text1"/>
        </w:rPr>
      </w:pPr>
      <w:r w:rsidRPr="00271363">
        <w:rPr>
          <w:rFonts w:ascii="Times New Roman" w:hAnsi="Times New Roman"/>
          <w:b/>
          <w:color w:val="000000" w:themeColor="text1"/>
        </w:rPr>
        <w:t>Art. 4º</w:t>
      </w:r>
      <w:r w:rsidRPr="00A9732E">
        <w:rPr>
          <w:rFonts w:ascii="Times New Roman" w:hAnsi="Times New Roman"/>
          <w:bCs/>
          <w:color w:val="000000" w:themeColor="text1"/>
        </w:rPr>
        <w:t xml:space="preserve"> Constituem instrumentos da </w:t>
      </w:r>
      <w:proofErr w:type="spellStart"/>
      <w:r w:rsidRPr="00A9732E">
        <w:rPr>
          <w:rFonts w:ascii="Times New Roman" w:hAnsi="Times New Roman"/>
          <w:bCs/>
          <w:color w:val="000000" w:themeColor="text1"/>
        </w:rPr>
        <w:t>RedeLeite</w:t>
      </w:r>
      <w:proofErr w:type="spellEnd"/>
      <w:r w:rsidRPr="00A9732E">
        <w:rPr>
          <w:rFonts w:ascii="Times New Roman" w:hAnsi="Times New Roman"/>
          <w:bCs/>
          <w:color w:val="000000" w:themeColor="text1"/>
        </w:rPr>
        <w:t xml:space="preserve"> MA, entre outros compatíveis com esta Lei:</w:t>
      </w:r>
    </w:p>
    <w:p w14:paraId="164305CB"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 – </w:t>
      </w:r>
      <w:proofErr w:type="gramStart"/>
      <w:r w:rsidRPr="00A9732E">
        <w:rPr>
          <w:rFonts w:ascii="Times New Roman" w:hAnsi="Times New Roman"/>
          <w:bCs/>
          <w:color w:val="000000" w:themeColor="text1"/>
        </w:rPr>
        <w:t>plataforma</w:t>
      </w:r>
      <w:proofErr w:type="gramEnd"/>
      <w:r w:rsidRPr="00A9732E">
        <w:rPr>
          <w:rFonts w:ascii="Times New Roman" w:hAnsi="Times New Roman"/>
          <w:bCs/>
          <w:color w:val="000000" w:themeColor="text1"/>
        </w:rPr>
        <w:t xml:space="preserve"> digital pública, responsiva e acessível, inclusive por aplicação móvel, quando disponibilizada;</w:t>
      </w:r>
    </w:p>
    <w:p w14:paraId="2441FA90"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lastRenderedPageBreak/>
        <w:t xml:space="preserve">II – </w:t>
      </w:r>
      <w:proofErr w:type="gramStart"/>
      <w:r w:rsidRPr="00A9732E">
        <w:rPr>
          <w:rFonts w:ascii="Times New Roman" w:hAnsi="Times New Roman"/>
          <w:bCs/>
          <w:color w:val="000000" w:themeColor="text1"/>
        </w:rPr>
        <w:t>painel</w:t>
      </w:r>
      <w:proofErr w:type="gramEnd"/>
      <w:r w:rsidRPr="00A9732E">
        <w:rPr>
          <w:rFonts w:ascii="Times New Roman" w:hAnsi="Times New Roman"/>
          <w:bCs/>
          <w:color w:val="000000" w:themeColor="text1"/>
        </w:rPr>
        <w:t xml:space="preserve"> público de estoques e necessidades da rede;</w:t>
      </w:r>
    </w:p>
    <w:p w14:paraId="12363A89"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III – canal para manifestação de interesse em doar e solicitação de contato ou coleta, sem confirmação automática de elegibilidade;</w:t>
      </w:r>
    </w:p>
    <w:p w14:paraId="4570538A"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IV – </w:t>
      </w:r>
      <w:proofErr w:type="gramStart"/>
      <w:r w:rsidRPr="00A9732E">
        <w:rPr>
          <w:rFonts w:ascii="Times New Roman" w:hAnsi="Times New Roman"/>
          <w:bCs/>
          <w:color w:val="000000" w:themeColor="text1"/>
        </w:rPr>
        <w:t>georreferenciamento</w:t>
      </w:r>
      <w:proofErr w:type="gramEnd"/>
      <w:r w:rsidRPr="00A9732E">
        <w:rPr>
          <w:rFonts w:ascii="Times New Roman" w:hAnsi="Times New Roman"/>
          <w:bCs/>
          <w:color w:val="000000" w:themeColor="text1"/>
        </w:rPr>
        <w:t xml:space="preserve"> dos serviços habilitados e indicação de unidades próximas;</w:t>
      </w:r>
    </w:p>
    <w:p w14:paraId="0141B0B3"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V – </w:t>
      </w:r>
      <w:proofErr w:type="gramStart"/>
      <w:r w:rsidRPr="00A9732E">
        <w:rPr>
          <w:rFonts w:ascii="Times New Roman" w:hAnsi="Times New Roman"/>
          <w:bCs/>
          <w:color w:val="000000" w:themeColor="text1"/>
        </w:rPr>
        <w:t>conteúdo</w:t>
      </w:r>
      <w:proofErr w:type="gramEnd"/>
      <w:r w:rsidRPr="00A9732E">
        <w:rPr>
          <w:rFonts w:ascii="Times New Roman" w:hAnsi="Times New Roman"/>
          <w:bCs/>
          <w:color w:val="000000" w:themeColor="text1"/>
        </w:rPr>
        <w:t xml:space="preserve"> educativo baseado em evidências e validado por profissionais habilitados;</w:t>
      </w:r>
    </w:p>
    <w:p w14:paraId="50247527"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VI – </w:t>
      </w:r>
      <w:proofErr w:type="gramStart"/>
      <w:r w:rsidRPr="00A9732E">
        <w:rPr>
          <w:rFonts w:ascii="Times New Roman" w:hAnsi="Times New Roman"/>
          <w:bCs/>
          <w:color w:val="000000" w:themeColor="text1"/>
        </w:rPr>
        <w:t>canais</w:t>
      </w:r>
      <w:proofErr w:type="gramEnd"/>
      <w:r w:rsidRPr="00A9732E">
        <w:rPr>
          <w:rFonts w:ascii="Times New Roman" w:hAnsi="Times New Roman"/>
          <w:bCs/>
          <w:color w:val="000000" w:themeColor="text1"/>
        </w:rPr>
        <w:t xml:space="preserve"> de comunicação entre doadoras, equipes assistenciais, maternidades, BLH, PCLH e pontos de apoio;</w:t>
      </w:r>
    </w:p>
    <w:p w14:paraId="21AF46DE"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VII – protocolos de referência, contrarreferência e logística entre unidades; e</w:t>
      </w:r>
    </w:p>
    <w:p w14:paraId="5C3E6E97"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VIII – relatórios periódicos e dados abertos em nível agregado, quando cabíveis.</w:t>
      </w:r>
    </w:p>
    <w:p w14:paraId="62257CAE" w14:textId="77777777" w:rsidR="00A9732E" w:rsidRPr="00A9732E" w:rsidRDefault="00A9732E" w:rsidP="00A9732E">
      <w:pPr>
        <w:spacing w:line="360" w:lineRule="auto"/>
        <w:ind w:firstLine="708"/>
        <w:rPr>
          <w:rFonts w:ascii="Times New Roman" w:hAnsi="Times New Roman"/>
          <w:bCs/>
          <w:color w:val="000000" w:themeColor="text1"/>
        </w:rPr>
      </w:pPr>
      <w:r w:rsidRPr="00271363">
        <w:rPr>
          <w:rFonts w:ascii="Times New Roman" w:hAnsi="Times New Roman"/>
          <w:b/>
          <w:color w:val="000000" w:themeColor="text1"/>
        </w:rPr>
        <w:t>Art. 5º</w:t>
      </w:r>
      <w:r w:rsidRPr="00A9732E">
        <w:rPr>
          <w:rFonts w:ascii="Times New Roman" w:hAnsi="Times New Roman"/>
          <w:bCs/>
          <w:color w:val="000000" w:themeColor="text1"/>
        </w:rPr>
        <w:t xml:space="preserve"> A plataforma digital, que poderá ser implementada, oferecerá a opção "Quero doar para a maternidade mais próxima", devendo:</w:t>
      </w:r>
    </w:p>
    <w:p w14:paraId="532D19A5"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 – </w:t>
      </w:r>
      <w:proofErr w:type="gramStart"/>
      <w:r w:rsidRPr="00A9732E">
        <w:rPr>
          <w:rFonts w:ascii="Times New Roman" w:hAnsi="Times New Roman"/>
          <w:bCs/>
          <w:color w:val="000000" w:themeColor="text1"/>
        </w:rPr>
        <w:t>exibir</w:t>
      </w:r>
      <w:proofErr w:type="gramEnd"/>
      <w:r w:rsidRPr="00A9732E">
        <w:rPr>
          <w:rFonts w:ascii="Times New Roman" w:hAnsi="Times New Roman"/>
          <w:bCs/>
          <w:color w:val="000000" w:themeColor="text1"/>
        </w:rPr>
        <w:t>, antes da escolha, alerta resumido sobre a situação geral dos estoques da rede estadual;</w:t>
      </w:r>
    </w:p>
    <w:p w14:paraId="043DA124"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II – </w:t>
      </w:r>
      <w:proofErr w:type="gramStart"/>
      <w:r w:rsidRPr="00A9732E">
        <w:rPr>
          <w:rFonts w:ascii="Times New Roman" w:hAnsi="Times New Roman"/>
          <w:bCs/>
          <w:color w:val="000000" w:themeColor="text1"/>
        </w:rPr>
        <w:t>permitir</w:t>
      </w:r>
      <w:proofErr w:type="gramEnd"/>
      <w:r w:rsidRPr="00A9732E">
        <w:rPr>
          <w:rFonts w:ascii="Times New Roman" w:hAnsi="Times New Roman"/>
          <w:bCs/>
          <w:color w:val="000000" w:themeColor="text1"/>
        </w:rPr>
        <w:t xml:space="preserve"> consulta segmentada por região de saúde, município, unidade e categoria de necessidade, quando segura;</w:t>
      </w:r>
    </w:p>
    <w:p w14:paraId="4B5B9F85"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III – indicar unidade habilitada ou fluxo de coleta próximo, com distância estimada, contato, horário e última atualização;</w:t>
      </w:r>
    </w:p>
    <w:p w14:paraId="1503890F" w14:textId="77777777" w:rsidR="00A9732E" w:rsidRPr="00A9732E" w:rsidRDefault="00A9732E" w:rsidP="00A9732E">
      <w:pPr>
        <w:spacing w:line="360" w:lineRule="auto"/>
        <w:ind w:left="708"/>
        <w:rPr>
          <w:rFonts w:ascii="Times New Roman" w:hAnsi="Times New Roman"/>
          <w:bCs/>
          <w:color w:val="000000" w:themeColor="text1"/>
        </w:rPr>
      </w:pPr>
      <w:r w:rsidRPr="00A9732E">
        <w:rPr>
          <w:rFonts w:ascii="Times New Roman" w:hAnsi="Times New Roman"/>
          <w:bCs/>
          <w:color w:val="000000" w:themeColor="text1"/>
        </w:rPr>
        <w:t xml:space="preserve">IV – </w:t>
      </w:r>
      <w:proofErr w:type="gramStart"/>
      <w:r w:rsidRPr="00A9732E">
        <w:rPr>
          <w:rFonts w:ascii="Times New Roman" w:hAnsi="Times New Roman"/>
          <w:bCs/>
          <w:color w:val="000000" w:themeColor="text1"/>
        </w:rPr>
        <w:t>informar</w:t>
      </w:r>
      <w:proofErr w:type="gramEnd"/>
      <w:r w:rsidRPr="00A9732E">
        <w:rPr>
          <w:rFonts w:ascii="Times New Roman" w:hAnsi="Times New Roman"/>
          <w:bCs/>
          <w:color w:val="000000" w:themeColor="text1"/>
        </w:rPr>
        <w:t xml:space="preserve"> que a preferência não vincula a destinação clínica do leite, definida pelo BLH segundo critérios técnicos e prioridade assistencial; e</w:t>
      </w:r>
    </w:p>
    <w:p w14:paraId="43ADD2D3" w14:textId="77777777" w:rsidR="00A9732E" w:rsidRPr="00A9732E" w:rsidRDefault="00A9732E" w:rsidP="00271363">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V – </w:t>
      </w:r>
      <w:proofErr w:type="gramStart"/>
      <w:r w:rsidRPr="00A9732E">
        <w:rPr>
          <w:rFonts w:ascii="Times New Roman" w:hAnsi="Times New Roman"/>
          <w:bCs/>
          <w:color w:val="000000" w:themeColor="text1"/>
        </w:rPr>
        <w:t>assegurar</w:t>
      </w:r>
      <w:proofErr w:type="gramEnd"/>
      <w:r w:rsidRPr="00A9732E">
        <w:rPr>
          <w:rFonts w:ascii="Times New Roman" w:hAnsi="Times New Roman"/>
          <w:bCs/>
          <w:color w:val="000000" w:themeColor="text1"/>
        </w:rPr>
        <w:t xml:space="preserve"> atendimento não digital e busca sem compartilhamento da localização precisa.</w:t>
      </w:r>
    </w:p>
    <w:p w14:paraId="7E7DC257" w14:textId="77777777" w:rsidR="00A9732E" w:rsidRPr="00A9732E" w:rsidRDefault="00A9732E" w:rsidP="00A9732E">
      <w:pPr>
        <w:spacing w:line="360" w:lineRule="auto"/>
        <w:ind w:firstLine="708"/>
        <w:rPr>
          <w:rFonts w:ascii="Times New Roman" w:hAnsi="Times New Roman"/>
          <w:bCs/>
          <w:color w:val="000000" w:themeColor="text1"/>
        </w:rPr>
      </w:pPr>
      <w:r w:rsidRPr="00271363">
        <w:rPr>
          <w:rFonts w:ascii="Times New Roman" w:hAnsi="Times New Roman"/>
          <w:b/>
          <w:color w:val="000000" w:themeColor="text1"/>
        </w:rPr>
        <w:t>§ 1º</w:t>
      </w:r>
      <w:r w:rsidRPr="00A9732E">
        <w:rPr>
          <w:rFonts w:ascii="Times New Roman" w:hAnsi="Times New Roman"/>
          <w:bCs/>
          <w:color w:val="000000" w:themeColor="text1"/>
        </w:rPr>
        <w:t xml:space="preserve"> A proximidade será considerada com a habilitação sanitária, a capacidade de coleta, a situação operacional, a cadeia de frio e as necessidades da rede.</w:t>
      </w:r>
    </w:p>
    <w:p w14:paraId="39956DB4" w14:textId="77777777" w:rsidR="00A9732E" w:rsidRPr="00A9732E" w:rsidRDefault="00A9732E" w:rsidP="00A9732E">
      <w:pPr>
        <w:spacing w:line="360" w:lineRule="auto"/>
        <w:ind w:firstLine="708"/>
        <w:rPr>
          <w:rFonts w:ascii="Times New Roman" w:hAnsi="Times New Roman"/>
          <w:bCs/>
          <w:color w:val="000000" w:themeColor="text1"/>
        </w:rPr>
      </w:pPr>
      <w:r w:rsidRPr="00271363">
        <w:rPr>
          <w:rFonts w:ascii="Times New Roman" w:hAnsi="Times New Roman"/>
          <w:b/>
          <w:color w:val="000000" w:themeColor="text1"/>
        </w:rPr>
        <w:t>§ 2º</w:t>
      </w:r>
      <w:r w:rsidRPr="00A9732E">
        <w:rPr>
          <w:rFonts w:ascii="Times New Roman" w:hAnsi="Times New Roman"/>
          <w:bCs/>
          <w:color w:val="000000" w:themeColor="text1"/>
        </w:rPr>
        <w:t xml:space="preserve"> É vedado utilizar a plataforma para intermediar entrega direta de leite humano entre particulares ou divulgar dados que identifiquem doadoras ou receptores.</w:t>
      </w:r>
    </w:p>
    <w:p w14:paraId="349E7406" w14:textId="77777777" w:rsidR="00A9732E" w:rsidRPr="00A9732E" w:rsidRDefault="00A9732E" w:rsidP="00A9732E">
      <w:pPr>
        <w:spacing w:line="360" w:lineRule="auto"/>
        <w:ind w:firstLine="708"/>
        <w:rPr>
          <w:rFonts w:ascii="Times New Roman" w:hAnsi="Times New Roman"/>
          <w:bCs/>
          <w:color w:val="000000" w:themeColor="text1"/>
        </w:rPr>
      </w:pPr>
      <w:r w:rsidRPr="00271363">
        <w:rPr>
          <w:rFonts w:ascii="Times New Roman" w:hAnsi="Times New Roman"/>
          <w:b/>
          <w:color w:val="000000" w:themeColor="text1"/>
        </w:rPr>
        <w:t>§ 3º</w:t>
      </w:r>
      <w:r w:rsidRPr="00A9732E">
        <w:rPr>
          <w:rFonts w:ascii="Times New Roman" w:hAnsi="Times New Roman"/>
          <w:bCs/>
          <w:color w:val="000000" w:themeColor="text1"/>
        </w:rPr>
        <w:t xml:space="preserve"> A plataforma poderá disponibilizar, ainda, funcionalidades de solicitação de frascos e demais insumos adequados ao armazenamento do leite humano, conforme a </w:t>
      </w:r>
      <w:r w:rsidRPr="00A9732E">
        <w:rPr>
          <w:rFonts w:ascii="Times New Roman" w:hAnsi="Times New Roman"/>
          <w:bCs/>
          <w:color w:val="000000" w:themeColor="text1"/>
        </w:rPr>
        <w:lastRenderedPageBreak/>
        <w:t>disponibilidade do serviço responsável, e de emissão de comprovante das doações realizadas, apto a subsidiar certificações e benefícios instituídos em lei.</w:t>
      </w:r>
    </w:p>
    <w:p w14:paraId="3DD5D7A8" w14:textId="77777777" w:rsidR="00A9732E" w:rsidRPr="00A9732E" w:rsidRDefault="00A9732E" w:rsidP="00A9732E">
      <w:pPr>
        <w:spacing w:line="360" w:lineRule="auto"/>
        <w:ind w:firstLine="708"/>
        <w:rPr>
          <w:rFonts w:ascii="Times New Roman" w:hAnsi="Times New Roman"/>
          <w:bCs/>
          <w:color w:val="000000" w:themeColor="text1"/>
        </w:rPr>
      </w:pPr>
      <w:r w:rsidRPr="00271363">
        <w:rPr>
          <w:rFonts w:ascii="Times New Roman" w:hAnsi="Times New Roman"/>
          <w:b/>
          <w:color w:val="000000" w:themeColor="text1"/>
        </w:rPr>
        <w:t>Art. 6º</w:t>
      </w:r>
      <w:r w:rsidRPr="00A9732E">
        <w:rPr>
          <w:rFonts w:ascii="Times New Roman" w:hAnsi="Times New Roman"/>
          <w:bCs/>
          <w:color w:val="000000" w:themeColor="text1"/>
        </w:rPr>
        <w:t xml:space="preserve"> O painel público de estoques deverá, quando houver dados validados:</w:t>
      </w:r>
    </w:p>
    <w:p w14:paraId="4FBF1AD4"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 – </w:t>
      </w:r>
      <w:proofErr w:type="gramStart"/>
      <w:r w:rsidRPr="00A9732E">
        <w:rPr>
          <w:rFonts w:ascii="Times New Roman" w:hAnsi="Times New Roman"/>
          <w:bCs/>
          <w:color w:val="000000" w:themeColor="text1"/>
        </w:rPr>
        <w:t>apresentar</w:t>
      </w:r>
      <w:proofErr w:type="gramEnd"/>
      <w:r w:rsidRPr="00A9732E">
        <w:rPr>
          <w:rFonts w:ascii="Times New Roman" w:hAnsi="Times New Roman"/>
          <w:bCs/>
          <w:color w:val="000000" w:themeColor="text1"/>
        </w:rPr>
        <w:t xml:space="preserve"> visão geral estadual antes das visões segmentadas;</w:t>
      </w:r>
    </w:p>
    <w:p w14:paraId="717505D6"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II – </w:t>
      </w:r>
      <w:proofErr w:type="gramStart"/>
      <w:r w:rsidRPr="00A9732E">
        <w:rPr>
          <w:rFonts w:ascii="Times New Roman" w:hAnsi="Times New Roman"/>
          <w:bCs/>
          <w:color w:val="000000" w:themeColor="text1"/>
        </w:rPr>
        <w:t>adotar</w:t>
      </w:r>
      <w:proofErr w:type="gramEnd"/>
      <w:r w:rsidRPr="00A9732E">
        <w:rPr>
          <w:rFonts w:ascii="Times New Roman" w:hAnsi="Times New Roman"/>
          <w:bCs/>
          <w:color w:val="000000" w:themeColor="text1"/>
        </w:rPr>
        <w:t xml:space="preserve"> faixas como crítico, atenção e adequado, acompanhadas dos critérios utilizados;</w:t>
      </w:r>
    </w:p>
    <w:p w14:paraId="316DE63E"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III – informar data e hora da última atualização e sinalizar dados desatualizados ou indisponíveis;</w:t>
      </w:r>
    </w:p>
    <w:p w14:paraId="6026A9F8"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IV – </w:t>
      </w:r>
      <w:proofErr w:type="gramStart"/>
      <w:r w:rsidRPr="00A9732E">
        <w:rPr>
          <w:rFonts w:ascii="Times New Roman" w:hAnsi="Times New Roman"/>
          <w:bCs/>
          <w:color w:val="000000" w:themeColor="text1"/>
        </w:rPr>
        <w:t>distinguir</w:t>
      </w:r>
      <w:proofErr w:type="gramEnd"/>
      <w:r w:rsidRPr="00A9732E">
        <w:rPr>
          <w:rFonts w:ascii="Times New Roman" w:hAnsi="Times New Roman"/>
          <w:bCs/>
          <w:color w:val="000000" w:themeColor="text1"/>
        </w:rPr>
        <w:t>, quando possível, volume coletado, em processamento, liberado e necessidade estimada;</w:t>
      </w:r>
    </w:p>
    <w:p w14:paraId="465379F1"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V – </w:t>
      </w:r>
      <w:proofErr w:type="gramStart"/>
      <w:r w:rsidRPr="00A9732E">
        <w:rPr>
          <w:rFonts w:ascii="Times New Roman" w:hAnsi="Times New Roman"/>
          <w:bCs/>
          <w:color w:val="000000" w:themeColor="text1"/>
        </w:rPr>
        <w:t>usar</w:t>
      </w:r>
      <w:proofErr w:type="gramEnd"/>
      <w:r w:rsidRPr="00A9732E">
        <w:rPr>
          <w:rFonts w:ascii="Times New Roman" w:hAnsi="Times New Roman"/>
          <w:bCs/>
          <w:color w:val="000000" w:themeColor="text1"/>
        </w:rPr>
        <w:t xml:space="preserve"> linguagem simples e acessibilidade, sem depender exclusivamente de cores; e</w:t>
      </w:r>
    </w:p>
    <w:p w14:paraId="0B79ED25"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VI – </w:t>
      </w:r>
      <w:proofErr w:type="gramStart"/>
      <w:r w:rsidRPr="00A9732E">
        <w:rPr>
          <w:rFonts w:ascii="Times New Roman" w:hAnsi="Times New Roman"/>
          <w:bCs/>
          <w:color w:val="000000" w:themeColor="text1"/>
        </w:rPr>
        <w:t>preservar</w:t>
      </w:r>
      <w:proofErr w:type="gramEnd"/>
      <w:r w:rsidRPr="00A9732E">
        <w:rPr>
          <w:rFonts w:ascii="Times New Roman" w:hAnsi="Times New Roman"/>
          <w:bCs/>
          <w:color w:val="000000" w:themeColor="text1"/>
        </w:rPr>
        <w:t xml:space="preserve"> informações cuja publicidade comprometa segurança, privacidade ou continuidade assistencial.</w:t>
      </w:r>
    </w:p>
    <w:p w14:paraId="5F8B48B5"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Parágrafo único. Os níveis exibidos terão natureza informativa e não constituirão promessa de disponibilidade para receptor específico nem substituirão a regulação assistencial.</w:t>
      </w:r>
    </w:p>
    <w:p w14:paraId="7D711E4B" w14:textId="77777777" w:rsidR="00A9732E" w:rsidRPr="00A9732E" w:rsidRDefault="00A9732E" w:rsidP="00A9732E">
      <w:pPr>
        <w:spacing w:line="360" w:lineRule="auto"/>
        <w:ind w:firstLine="708"/>
        <w:rPr>
          <w:rFonts w:ascii="Times New Roman" w:hAnsi="Times New Roman"/>
          <w:bCs/>
          <w:color w:val="000000" w:themeColor="text1"/>
        </w:rPr>
      </w:pPr>
      <w:r w:rsidRPr="00271363">
        <w:rPr>
          <w:rFonts w:ascii="Times New Roman" w:hAnsi="Times New Roman"/>
          <w:b/>
          <w:color w:val="000000" w:themeColor="text1"/>
        </w:rPr>
        <w:t>Art. 7º</w:t>
      </w:r>
      <w:r w:rsidRPr="00A9732E">
        <w:rPr>
          <w:rFonts w:ascii="Times New Roman" w:hAnsi="Times New Roman"/>
          <w:bCs/>
          <w:color w:val="000000" w:themeColor="text1"/>
        </w:rPr>
        <w:t xml:space="preserve"> O módulo de orientação à doadora deverá destacar que:</w:t>
      </w:r>
    </w:p>
    <w:p w14:paraId="77A41B94"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 – </w:t>
      </w:r>
      <w:proofErr w:type="gramStart"/>
      <w:r w:rsidRPr="00A9732E">
        <w:rPr>
          <w:rFonts w:ascii="Times New Roman" w:hAnsi="Times New Roman"/>
          <w:bCs/>
          <w:color w:val="000000" w:themeColor="text1"/>
        </w:rPr>
        <w:t>o</w:t>
      </w:r>
      <w:proofErr w:type="gramEnd"/>
      <w:r w:rsidRPr="00A9732E">
        <w:rPr>
          <w:rFonts w:ascii="Times New Roman" w:hAnsi="Times New Roman"/>
          <w:bCs/>
          <w:color w:val="000000" w:themeColor="text1"/>
        </w:rPr>
        <w:t xml:space="preserve"> leite da própria mãe é prioritariamente destinado ao seu filho;</w:t>
      </w:r>
    </w:p>
    <w:p w14:paraId="6DC2F22D"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II – </w:t>
      </w:r>
      <w:proofErr w:type="gramStart"/>
      <w:r w:rsidRPr="00A9732E">
        <w:rPr>
          <w:rFonts w:ascii="Times New Roman" w:hAnsi="Times New Roman"/>
          <w:bCs/>
          <w:color w:val="000000" w:themeColor="text1"/>
        </w:rPr>
        <w:t>somente</w:t>
      </w:r>
      <w:proofErr w:type="gramEnd"/>
      <w:r w:rsidRPr="00A9732E">
        <w:rPr>
          <w:rFonts w:ascii="Times New Roman" w:hAnsi="Times New Roman"/>
          <w:bCs/>
          <w:color w:val="000000" w:themeColor="text1"/>
        </w:rPr>
        <w:t xml:space="preserve"> o excedente deve ser doado, após orientação e avaliação pelo serviço competente;</w:t>
      </w:r>
    </w:p>
    <w:p w14:paraId="6AD19A76"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III – qualquer quantidade pode contribuir, sem meta individual ou estímulo à extração excessiva;</w:t>
      </w:r>
    </w:p>
    <w:p w14:paraId="061F9349"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IV – </w:t>
      </w:r>
      <w:proofErr w:type="gramStart"/>
      <w:r w:rsidRPr="00A9732E">
        <w:rPr>
          <w:rFonts w:ascii="Times New Roman" w:hAnsi="Times New Roman"/>
          <w:bCs/>
          <w:color w:val="000000" w:themeColor="text1"/>
        </w:rPr>
        <w:t>a</w:t>
      </w:r>
      <w:proofErr w:type="gramEnd"/>
      <w:r w:rsidRPr="00A9732E">
        <w:rPr>
          <w:rFonts w:ascii="Times New Roman" w:hAnsi="Times New Roman"/>
          <w:bCs/>
          <w:color w:val="000000" w:themeColor="text1"/>
        </w:rPr>
        <w:t xml:space="preserve"> confirmação como doadora depende dos critérios sanitários e clínicos vigentes; e</w:t>
      </w:r>
    </w:p>
    <w:p w14:paraId="04621916"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V – </w:t>
      </w:r>
      <w:proofErr w:type="gramStart"/>
      <w:r w:rsidRPr="00A9732E">
        <w:rPr>
          <w:rFonts w:ascii="Times New Roman" w:hAnsi="Times New Roman"/>
          <w:bCs/>
          <w:color w:val="000000" w:themeColor="text1"/>
        </w:rPr>
        <w:t>a</w:t>
      </w:r>
      <w:proofErr w:type="gramEnd"/>
      <w:r w:rsidRPr="00A9732E">
        <w:rPr>
          <w:rFonts w:ascii="Times New Roman" w:hAnsi="Times New Roman"/>
          <w:bCs/>
          <w:color w:val="000000" w:themeColor="text1"/>
        </w:rPr>
        <w:t xml:space="preserve"> coleta domiciliar, quando disponível, seguirá agendamento, cadeia de frio e protocolos do serviço responsável.</w:t>
      </w:r>
    </w:p>
    <w:p w14:paraId="426911FF" w14:textId="77777777" w:rsidR="00A9732E" w:rsidRPr="00A9732E" w:rsidRDefault="00A9732E" w:rsidP="00A9732E">
      <w:pPr>
        <w:spacing w:line="360" w:lineRule="auto"/>
        <w:ind w:firstLine="708"/>
        <w:rPr>
          <w:rFonts w:ascii="Times New Roman" w:hAnsi="Times New Roman"/>
          <w:bCs/>
          <w:color w:val="000000" w:themeColor="text1"/>
        </w:rPr>
      </w:pPr>
      <w:r w:rsidRPr="00271363">
        <w:rPr>
          <w:rFonts w:ascii="Times New Roman" w:hAnsi="Times New Roman"/>
          <w:b/>
          <w:color w:val="000000" w:themeColor="text1"/>
        </w:rPr>
        <w:lastRenderedPageBreak/>
        <w:t>Art. 8º</w:t>
      </w:r>
      <w:r w:rsidRPr="00A9732E">
        <w:rPr>
          <w:rFonts w:ascii="Times New Roman" w:hAnsi="Times New Roman"/>
          <w:bCs/>
          <w:color w:val="000000" w:themeColor="text1"/>
        </w:rPr>
        <w:t xml:space="preserve"> As orientações sobre ordenha, higiene, acondicionamento, conservação e transporte serão </w:t>
      </w:r>
      <w:proofErr w:type="gramStart"/>
      <w:r w:rsidRPr="00A9732E">
        <w:rPr>
          <w:rFonts w:ascii="Times New Roman" w:hAnsi="Times New Roman"/>
          <w:bCs/>
          <w:color w:val="000000" w:themeColor="text1"/>
        </w:rPr>
        <w:t>ratificadas</w:t>
      </w:r>
      <w:proofErr w:type="gramEnd"/>
      <w:r w:rsidRPr="00A9732E">
        <w:rPr>
          <w:rFonts w:ascii="Times New Roman" w:hAnsi="Times New Roman"/>
          <w:bCs/>
          <w:color w:val="000000" w:themeColor="text1"/>
        </w:rPr>
        <w:t xml:space="preserve"> por profissionais habilitados das maternidades, indicarão fonte e data de revisão e observarão as normas sanitárias vigentes.</w:t>
      </w:r>
    </w:p>
    <w:p w14:paraId="53E43588" w14:textId="77777777" w:rsidR="00A9732E" w:rsidRPr="00A9732E" w:rsidRDefault="00A9732E" w:rsidP="00A9732E">
      <w:pPr>
        <w:spacing w:line="360" w:lineRule="auto"/>
        <w:ind w:firstLine="708"/>
        <w:rPr>
          <w:rFonts w:ascii="Times New Roman" w:hAnsi="Times New Roman"/>
          <w:bCs/>
          <w:color w:val="000000" w:themeColor="text1"/>
        </w:rPr>
      </w:pPr>
      <w:r w:rsidRPr="00271363">
        <w:rPr>
          <w:rFonts w:ascii="Times New Roman" w:hAnsi="Times New Roman"/>
          <w:b/>
          <w:color w:val="000000" w:themeColor="text1"/>
        </w:rPr>
        <w:t>§ 1º</w:t>
      </w:r>
      <w:r w:rsidRPr="00A9732E">
        <w:rPr>
          <w:rFonts w:ascii="Times New Roman" w:hAnsi="Times New Roman"/>
          <w:bCs/>
          <w:color w:val="000000" w:themeColor="text1"/>
        </w:rPr>
        <w:t xml:space="preserve"> A plataforma evitará comandos automáticos em situações clínicas e orientará a procura de atendimento profissional ou de urgência diante de sinais de alerta.</w:t>
      </w:r>
    </w:p>
    <w:p w14:paraId="7A5B5E39" w14:textId="77777777" w:rsidR="00271363" w:rsidRDefault="00A9732E" w:rsidP="00271363">
      <w:pPr>
        <w:spacing w:line="360" w:lineRule="auto"/>
        <w:ind w:firstLine="708"/>
        <w:rPr>
          <w:rFonts w:ascii="Times New Roman" w:hAnsi="Times New Roman"/>
          <w:bCs/>
          <w:color w:val="000000" w:themeColor="text1"/>
        </w:rPr>
      </w:pPr>
      <w:r w:rsidRPr="00271363">
        <w:rPr>
          <w:rFonts w:ascii="Times New Roman" w:hAnsi="Times New Roman"/>
          <w:b/>
          <w:color w:val="000000" w:themeColor="text1"/>
        </w:rPr>
        <w:t>§ 2º</w:t>
      </w:r>
      <w:r w:rsidRPr="00A9732E">
        <w:rPr>
          <w:rFonts w:ascii="Times New Roman" w:hAnsi="Times New Roman"/>
          <w:bCs/>
          <w:color w:val="000000" w:themeColor="text1"/>
        </w:rPr>
        <w:t xml:space="preserve"> Conteúdos de saúde não poderão ser substituídos por publicidade ou recomendação comercial incompatível com a proteção ao aleitamento materno.</w:t>
      </w:r>
    </w:p>
    <w:p w14:paraId="493B8EE8" w14:textId="77777777" w:rsidR="001F7C50" w:rsidRDefault="001F7C50" w:rsidP="00271363">
      <w:pPr>
        <w:spacing w:line="360" w:lineRule="auto"/>
        <w:ind w:firstLine="708"/>
        <w:rPr>
          <w:rFonts w:ascii="Times New Roman" w:hAnsi="Times New Roman"/>
          <w:bCs/>
          <w:color w:val="000000" w:themeColor="text1"/>
        </w:rPr>
      </w:pPr>
    </w:p>
    <w:p w14:paraId="4C4A0B41" w14:textId="646E6667" w:rsidR="00A9732E" w:rsidRPr="00A9732E" w:rsidRDefault="00A9732E" w:rsidP="00271363">
      <w:pPr>
        <w:spacing w:line="360" w:lineRule="auto"/>
        <w:jc w:val="center"/>
        <w:rPr>
          <w:rFonts w:ascii="Times New Roman" w:hAnsi="Times New Roman"/>
          <w:bCs/>
          <w:color w:val="000000" w:themeColor="text1"/>
        </w:rPr>
      </w:pPr>
      <w:r w:rsidRPr="00A9732E">
        <w:rPr>
          <w:rFonts w:ascii="Times New Roman" w:hAnsi="Times New Roman"/>
          <w:b/>
          <w:bCs/>
          <w:color w:val="000000" w:themeColor="text1"/>
        </w:rPr>
        <w:t>CAPÍTULO III – DO APOIO À AMAMENTAÇÃO E À SAÚDE DAS MAMAS</w:t>
      </w:r>
    </w:p>
    <w:p w14:paraId="4F9E8990" w14:textId="77777777" w:rsidR="00A9732E" w:rsidRPr="00A9732E" w:rsidRDefault="00A9732E" w:rsidP="00A9732E">
      <w:pPr>
        <w:spacing w:line="360" w:lineRule="auto"/>
        <w:ind w:firstLine="708"/>
        <w:rPr>
          <w:rFonts w:ascii="Times New Roman" w:hAnsi="Times New Roman"/>
          <w:bCs/>
          <w:color w:val="000000" w:themeColor="text1"/>
        </w:rPr>
      </w:pPr>
      <w:r w:rsidRPr="00271363">
        <w:rPr>
          <w:rFonts w:ascii="Times New Roman" w:hAnsi="Times New Roman"/>
          <w:b/>
          <w:color w:val="000000" w:themeColor="text1"/>
        </w:rPr>
        <w:t>Art. 9º</w:t>
      </w:r>
      <w:r w:rsidRPr="00A9732E">
        <w:rPr>
          <w:rFonts w:ascii="Times New Roman" w:hAnsi="Times New Roman"/>
          <w:bCs/>
          <w:color w:val="000000" w:themeColor="text1"/>
        </w:rPr>
        <w:t xml:space="preserve"> A </w:t>
      </w:r>
      <w:proofErr w:type="spellStart"/>
      <w:r w:rsidRPr="00A9732E">
        <w:rPr>
          <w:rFonts w:ascii="Times New Roman" w:hAnsi="Times New Roman"/>
          <w:bCs/>
          <w:color w:val="000000" w:themeColor="text1"/>
        </w:rPr>
        <w:t>RedeLeite</w:t>
      </w:r>
      <w:proofErr w:type="spellEnd"/>
      <w:r w:rsidRPr="00A9732E">
        <w:rPr>
          <w:rFonts w:ascii="Times New Roman" w:hAnsi="Times New Roman"/>
          <w:bCs/>
          <w:color w:val="000000" w:themeColor="text1"/>
        </w:rPr>
        <w:t xml:space="preserve"> MA promoverá acesso a informações confiáveis sobre aleitamento materno e dificuldades comuns da lactação, incluindo:</w:t>
      </w:r>
    </w:p>
    <w:p w14:paraId="1010480F"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 – </w:t>
      </w:r>
      <w:proofErr w:type="gramStart"/>
      <w:r w:rsidRPr="00A9732E">
        <w:rPr>
          <w:rFonts w:ascii="Times New Roman" w:hAnsi="Times New Roman"/>
          <w:bCs/>
          <w:color w:val="000000" w:themeColor="text1"/>
        </w:rPr>
        <w:t>pega</w:t>
      </w:r>
      <w:proofErr w:type="gramEnd"/>
      <w:r w:rsidRPr="00A9732E">
        <w:rPr>
          <w:rFonts w:ascii="Times New Roman" w:hAnsi="Times New Roman"/>
          <w:bCs/>
          <w:color w:val="000000" w:themeColor="text1"/>
        </w:rPr>
        <w:t xml:space="preserve"> e posicionamento;</w:t>
      </w:r>
    </w:p>
    <w:p w14:paraId="5BA92CC2"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II – </w:t>
      </w:r>
      <w:proofErr w:type="gramStart"/>
      <w:r w:rsidRPr="00A9732E">
        <w:rPr>
          <w:rFonts w:ascii="Times New Roman" w:hAnsi="Times New Roman"/>
          <w:bCs/>
          <w:color w:val="000000" w:themeColor="text1"/>
        </w:rPr>
        <w:t>dor</w:t>
      </w:r>
      <w:proofErr w:type="gramEnd"/>
      <w:r w:rsidRPr="00A9732E">
        <w:rPr>
          <w:rFonts w:ascii="Times New Roman" w:hAnsi="Times New Roman"/>
          <w:bCs/>
          <w:color w:val="000000" w:themeColor="text1"/>
        </w:rPr>
        <w:t xml:space="preserve"> e fissuras mamilares;</w:t>
      </w:r>
    </w:p>
    <w:p w14:paraId="0426E8FE"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III – ingurgitamento, ductos obstruídos e mastite;</w:t>
      </w:r>
    </w:p>
    <w:p w14:paraId="63C51BEF"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IV – </w:t>
      </w:r>
      <w:proofErr w:type="gramStart"/>
      <w:r w:rsidRPr="00A9732E">
        <w:rPr>
          <w:rFonts w:ascii="Times New Roman" w:hAnsi="Times New Roman"/>
          <w:bCs/>
          <w:color w:val="000000" w:themeColor="text1"/>
        </w:rPr>
        <w:t>percepção</w:t>
      </w:r>
      <w:proofErr w:type="gramEnd"/>
      <w:r w:rsidRPr="00A9732E">
        <w:rPr>
          <w:rFonts w:ascii="Times New Roman" w:hAnsi="Times New Roman"/>
          <w:bCs/>
          <w:color w:val="000000" w:themeColor="text1"/>
        </w:rPr>
        <w:t xml:space="preserve"> de baixa produção e </w:t>
      </w:r>
      <w:proofErr w:type="spellStart"/>
      <w:r w:rsidRPr="00A9732E">
        <w:rPr>
          <w:rFonts w:ascii="Times New Roman" w:hAnsi="Times New Roman"/>
          <w:bCs/>
          <w:color w:val="000000" w:themeColor="text1"/>
        </w:rPr>
        <w:t>hiperlactação</w:t>
      </w:r>
      <w:proofErr w:type="spellEnd"/>
      <w:r w:rsidRPr="00A9732E">
        <w:rPr>
          <w:rFonts w:ascii="Times New Roman" w:hAnsi="Times New Roman"/>
          <w:bCs/>
          <w:color w:val="000000" w:themeColor="text1"/>
        </w:rPr>
        <w:t>;</w:t>
      </w:r>
    </w:p>
    <w:p w14:paraId="1BCD7A7D"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V – </w:t>
      </w:r>
      <w:proofErr w:type="gramStart"/>
      <w:r w:rsidRPr="00A9732E">
        <w:rPr>
          <w:rFonts w:ascii="Times New Roman" w:hAnsi="Times New Roman"/>
          <w:bCs/>
          <w:color w:val="000000" w:themeColor="text1"/>
        </w:rPr>
        <w:t>ordenha</w:t>
      </w:r>
      <w:proofErr w:type="gramEnd"/>
      <w:r w:rsidRPr="00A9732E">
        <w:rPr>
          <w:rFonts w:ascii="Times New Roman" w:hAnsi="Times New Roman"/>
          <w:bCs/>
          <w:color w:val="000000" w:themeColor="text1"/>
        </w:rPr>
        <w:t>, retorno ao trabalho e manutenção da lactação;</w:t>
      </w:r>
    </w:p>
    <w:p w14:paraId="34E0DF02"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VI – </w:t>
      </w:r>
      <w:proofErr w:type="gramStart"/>
      <w:r w:rsidRPr="00A9732E">
        <w:rPr>
          <w:rFonts w:ascii="Times New Roman" w:hAnsi="Times New Roman"/>
          <w:bCs/>
          <w:color w:val="000000" w:themeColor="text1"/>
        </w:rPr>
        <w:t>uso</w:t>
      </w:r>
      <w:proofErr w:type="gramEnd"/>
      <w:r w:rsidRPr="00A9732E">
        <w:rPr>
          <w:rFonts w:ascii="Times New Roman" w:hAnsi="Times New Roman"/>
          <w:bCs/>
          <w:color w:val="000000" w:themeColor="text1"/>
        </w:rPr>
        <w:t xml:space="preserve"> de medicamentos e situações que exigem avaliação individual; e</w:t>
      </w:r>
    </w:p>
    <w:p w14:paraId="31D82226"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VII – sinais de alerta e locais de atendimento na rede de saúde.</w:t>
      </w:r>
    </w:p>
    <w:p w14:paraId="4BA2DE27" w14:textId="77777777" w:rsidR="00A9732E" w:rsidRPr="00A9732E" w:rsidRDefault="00A9732E" w:rsidP="00A9732E">
      <w:pPr>
        <w:spacing w:line="360" w:lineRule="auto"/>
        <w:ind w:firstLine="708"/>
        <w:rPr>
          <w:rFonts w:ascii="Times New Roman" w:hAnsi="Times New Roman"/>
          <w:bCs/>
          <w:color w:val="000000" w:themeColor="text1"/>
        </w:rPr>
      </w:pPr>
      <w:r w:rsidRPr="00271363">
        <w:rPr>
          <w:rFonts w:ascii="Times New Roman" w:hAnsi="Times New Roman"/>
          <w:b/>
          <w:color w:val="000000" w:themeColor="text1"/>
        </w:rPr>
        <w:t>Art. 10</w:t>
      </w:r>
      <w:r w:rsidRPr="00A9732E">
        <w:rPr>
          <w:rFonts w:ascii="Times New Roman" w:hAnsi="Times New Roman"/>
          <w:bCs/>
          <w:color w:val="000000" w:themeColor="text1"/>
        </w:rPr>
        <w:t>. O conteúdo educativo será apresentado em linguagem simples, inclusiva e não estigmatizante, com indicação de que não substitui consulta, diagnóstico ou tratamento por profissional de saúde.</w:t>
      </w:r>
    </w:p>
    <w:p w14:paraId="4231498C" w14:textId="77777777" w:rsidR="00A9732E" w:rsidRDefault="00A9732E" w:rsidP="00A9732E">
      <w:pPr>
        <w:spacing w:line="360" w:lineRule="auto"/>
        <w:ind w:firstLine="708"/>
        <w:rPr>
          <w:rFonts w:ascii="Times New Roman" w:hAnsi="Times New Roman"/>
          <w:bCs/>
          <w:color w:val="000000" w:themeColor="text1"/>
        </w:rPr>
      </w:pPr>
      <w:r w:rsidRPr="00271363">
        <w:rPr>
          <w:rFonts w:ascii="Times New Roman" w:hAnsi="Times New Roman"/>
          <w:b/>
          <w:color w:val="000000" w:themeColor="text1"/>
        </w:rPr>
        <w:t xml:space="preserve">Parágrafo único. </w:t>
      </w:r>
      <w:r w:rsidRPr="00A9732E">
        <w:rPr>
          <w:rFonts w:ascii="Times New Roman" w:hAnsi="Times New Roman"/>
          <w:bCs/>
          <w:color w:val="000000" w:themeColor="text1"/>
        </w:rPr>
        <w:t>Sempre que viável, serão oferecidos leitura por tecnologia assistiva, contraste adequado, legendas, Libras e materiais de baixo consumo de dados.</w:t>
      </w:r>
    </w:p>
    <w:p w14:paraId="4ACA419A" w14:textId="77777777" w:rsidR="00271363" w:rsidRPr="00A9732E" w:rsidRDefault="00271363" w:rsidP="00A9732E">
      <w:pPr>
        <w:spacing w:line="360" w:lineRule="auto"/>
        <w:ind w:firstLine="708"/>
        <w:rPr>
          <w:rFonts w:ascii="Times New Roman" w:hAnsi="Times New Roman"/>
          <w:bCs/>
          <w:color w:val="000000" w:themeColor="text1"/>
        </w:rPr>
      </w:pPr>
    </w:p>
    <w:p w14:paraId="77DF4F5B" w14:textId="77777777" w:rsidR="00A9732E" w:rsidRPr="00A9732E" w:rsidRDefault="00A9732E" w:rsidP="00271363">
      <w:pPr>
        <w:spacing w:line="360" w:lineRule="auto"/>
        <w:jc w:val="center"/>
        <w:rPr>
          <w:rFonts w:ascii="Times New Roman" w:hAnsi="Times New Roman"/>
          <w:bCs/>
          <w:color w:val="000000" w:themeColor="text1"/>
        </w:rPr>
      </w:pPr>
      <w:r w:rsidRPr="00A9732E">
        <w:rPr>
          <w:rFonts w:ascii="Times New Roman" w:hAnsi="Times New Roman"/>
          <w:b/>
          <w:bCs/>
          <w:color w:val="000000" w:themeColor="text1"/>
        </w:rPr>
        <w:t>CAPÍTULO IV – DA INTEGRAÇÃO E DA SEGURANÇA SANITÁRIA</w:t>
      </w:r>
    </w:p>
    <w:p w14:paraId="4CF44B8C" w14:textId="5CCF204F" w:rsidR="00A9732E" w:rsidRPr="00A9732E" w:rsidRDefault="00A9732E" w:rsidP="00A9732E">
      <w:pPr>
        <w:spacing w:line="360" w:lineRule="auto"/>
        <w:ind w:firstLine="708"/>
        <w:rPr>
          <w:rFonts w:ascii="Times New Roman" w:hAnsi="Times New Roman"/>
          <w:bCs/>
          <w:color w:val="000000" w:themeColor="text1"/>
        </w:rPr>
      </w:pPr>
      <w:r w:rsidRPr="00271363">
        <w:rPr>
          <w:rFonts w:ascii="Times New Roman" w:hAnsi="Times New Roman"/>
          <w:b/>
          <w:color w:val="000000" w:themeColor="text1"/>
        </w:rPr>
        <w:t>Art. 11.</w:t>
      </w:r>
      <w:r w:rsidRPr="00A9732E">
        <w:rPr>
          <w:rFonts w:ascii="Times New Roman" w:hAnsi="Times New Roman"/>
          <w:bCs/>
          <w:color w:val="000000" w:themeColor="text1"/>
        </w:rPr>
        <w:t xml:space="preserve"> A execução observará a organização regionalizada e hierarquizada do SUS e buscará integrar BLH, PCLH, maternidades, unidades neonatais, atenção primária, vigilância sanitária, regulação e transporte sanitário, sem prejuízo de outras normas aplicáveis.</w:t>
      </w:r>
    </w:p>
    <w:p w14:paraId="53030C81" w14:textId="77777777" w:rsidR="00A9732E" w:rsidRPr="00A9732E" w:rsidRDefault="00A9732E" w:rsidP="00A9732E">
      <w:pPr>
        <w:spacing w:line="360" w:lineRule="auto"/>
        <w:ind w:firstLine="708"/>
        <w:rPr>
          <w:rFonts w:ascii="Times New Roman" w:hAnsi="Times New Roman"/>
          <w:bCs/>
          <w:color w:val="000000" w:themeColor="text1"/>
        </w:rPr>
      </w:pPr>
      <w:r w:rsidRPr="00DE4AEC">
        <w:rPr>
          <w:rFonts w:ascii="Times New Roman" w:hAnsi="Times New Roman"/>
          <w:b/>
          <w:color w:val="000000" w:themeColor="text1"/>
        </w:rPr>
        <w:lastRenderedPageBreak/>
        <w:t>Art. 12</w:t>
      </w:r>
      <w:r w:rsidRPr="00A9732E">
        <w:rPr>
          <w:rFonts w:ascii="Times New Roman" w:hAnsi="Times New Roman"/>
          <w:bCs/>
          <w:color w:val="000000" w:themeColor="text1"/>
        </w:rPr>
        <w:t>. A coleta, o processamento, o controle de qualidade, o armazenamento e a distribuição ocorrerão exclusivamente por serviços habilitados e segundo protocolos vigentes.</w:t>
      </w:r>
    </w:p>
    <w:p w14:paraId="3703981E" w14:textId="77777777" w:rsidR="00A9732E" w:rsidRPr="00A9732E" w:rsidRDefault="00A9732E" w:rsidP="00A9732E">
      <w:pPr>
        <w:spacing w:line="360" w:lineRule="auto"/>
        <w:ind w:firstLine="708"/>
        <w:rPr>
          <w:rFonts w:ascii="Times New Roman" w:hAnsi="Times New Roman"/>
          <w:bCs/>
          <w:color w:val="000000" w:themeColor="text1"/>
        </w:rPr>
      </w:pPr>
      <w:r w:rsidRPr="00DE4AEC">
        <w:rPr>
          <w:rFonts w:ascii="Times New Roman" w:hAnsi="Times New Roman"/>
          <w:b/>
          <w:color w:val="000000" w:themeColor="text1"/>
        </w:rPr>
        <w:t>§ 1º</w:t>
      </w:r>
      <w:r w:rsidRPr="00A9732E">
        <w:rPr>
          <w:rFonts w:ascii="Times New Roman" w:hAnsi="Times New Roman"/>
          <w:bCs/>
          <w:color w:val="000000" w:themeColor="text1"/>
        </w:rPr>
        <w:t xml:space="preserve"> É vedada a comercialização do leite humano coletado, processado ou distribuído no âmbito da Política.</w:t>
      </w:r>
    </w:p>
    <w:p w14:paraId="1FEF75EA" w14:textId="77777777" w:rsidR="00A9732E" w:rsidRPr="00A9732E" w:rsidRDefault="00A9732E" w:rsidP="00A9732E">
      <w:pPr>
        <w:spacing w:line="360" w:lineRule="auto"/>
        <w:ind w:firstLine="708"/>
        <w:rPr>
          <w:rFonts w:ascii="Times New Roman" w:hAnsi="Times New Roman"/>
          <w:bCs/>
          <w:color w:val="000000" w:themeColor="text1"/>
        </w:rPr>
      </w:pPr>
      <w:r w:rsidRPr="00DE4AEC">
        <w:rPr>
          <w:rFonts w:ascii="Times New Roman" w:hAnsi="Times New Roman"/>
          <w:b/>
          <w:color w:val="000000" w:themeColor="text1"/>
        </w:rPr>
        <w:t>§ 2º</w:t>
      </w:r>
      <w:r w:rsidRPr="00A9732E">
        <w:rPr>
          <w:rFonts w:ascii="Times New Roman" w:hAnsi="Times New Roman"/>
          <w:bCs/>
          <w:color w:val="000000" w:themeColor="text1"/>
        </w:rPr>
        <w:t xml:space="preserve"> A seleção de doadoras, a classificação do produto e a definição dos receptores caberão aos profissionais e serviços competentes, respeitadas a prescrição e as prioridades clínicas.</w:t>
      </w:r>
    </w:p>
    <w:p w14:paraId="408B62A2" w14:textId="77777777" w:rsidR="00A9732E" w:rsidRDefault="00A9732E" w:rsidP="00A9732E">
      <w:pPr>
        <w:spacing w:line="360" w:lineRule="auto"/>
        <w:ind w:firstLine="708"/>
        <w:rPr>
          <w:rFonts w:ascii="Times New Roman" w:hAnsi="Times New Roman"/>
          <w:bCs/>
          <w:color w:val="000000" w:themeColor="text1"/>
        </w:rPr>
      </w:pPr>
      <w:r w:rsidRPr="00DE4AEC">
        <w:rPr>
          <w:rFonts w:ascii="Times New Roman" w:hAnsi="Times New Roman"/>
          <w:b/>
          <w:color w:val="000000" w:themeColor="text1"/>
        </w:rPr>
        <w:t>Art. 13.</w:t>
      </w:r>
      <w:r w:rsidRPr="00A9732E">
        <w:rPr>
          <w:rFonts w:ascii="Times New Roman" w:hAnsi="Times New Roman"/>
          <w:bCs/>
          <w:color w:val="000000" w:themeColor="text1"/>
        </w:rPr>
        <w:t xml:space="preserve"> O Estado poderá celebrar termos de cooperação com Municípios, instituições federais, universidades, hospitais, entidades filantrópicas e organizações da sociedade civil para ampliar cobertura, qualificação, inovação, logística e avaliação, observada a legislação.</w:t>
      </w:r>
    </w:p>
    <w:p w14:paraId="2CD7DED9" w14:textId="77777777" w:rsidR="00DE4AEC" w:rsidRPr="00A9732E" w:rsidRDefault="00DE4AEC" w:rsidP="00A9732E">
      <w:pPr>
        <w:spacing w:line="360" w:lineRule="auto"/>
        <w:ind w:firstLine="708"/>
        <w:rPr>
          <w:rFonts w:ascii="Times New Roman" w:hAnsi="Times New Roman"/>
          <w:bCs/>
          <w:color w:val="000000" w:themeColor="text1"/>
        </w:rPr>
      </w:pPr>
    </w:p>
    <w:p w14:paraId="3E53A569" w14:textId="77777777" w:rsidR="00A9732E" w:rsidRPr="00A9732E" w:rsidRDefault="00A9732E" w:rsidP="00DE4AEC">
      <w:pPr>
        <w:spacing w:line="360" w:lineRule="auto"/>
        <w:jc w:val="center"/>
        <w:rPr>
          <w:rFonts w:ascii="Times New Roman" w:hAnsi="Times New Roman"/>
          <w:bCs/>
          <w:color w:val="000000" w:themeColor="text1"/>
        </w:rPr>
      </w:pPr>
      <w:r w:rsidRPr="00A9732E">
        <w:rPr>
          <w:rFonts w:ascii="Times New Roman" w:hAnsi="Times New Roman"/>
          <w:b/>
          <w:bCs/>
          <w:color w:val="000000" w:themeColor="text1"/>
        </w:rPr>
        <w:t>CAPÍTULO V – DA PROTEÇÃO DE DADOS E DA GOVERNANÇA DIGITAL</w:t>
      </w:r>
    </w:p>
    <w:p w14:paraId="29FD8EB4" w14:textId="77777777" w:rsidR="00A9732E" w:rsidRPr="00A9732E" w:rsidRDefault="00A9732E" w:rsidP="00A9732E">
      <w:pPr>
        <w:spacing w:line="360" w:lineRule="auto"/>
        <w:ind w:firstLine="708"/>
        <w:rPr>
          <w:rFonts w:ascii="Times New Roman" w:hAnsi="Times New Roman"/>
          <w:bCs/>
          <w:color w:val="000000" w:themeColor="text1"/>
        </w:rPr>
      </w:pPr>
      <w:r w:rsidRPr="00DE4AEC">
        <w:rPr>
          <w:rFonts w:ascii="Times New Roman" w:hAnsi="Times New Roman"/>
          <w:b/>
          <w:color w:val="000000" w:themeColor="text1"/>
        </w:rPr>
        <w:t>Art. 14.</w:t>
      </w:r>
      <w:r w:rsidRPr="00A9732E">
        <w:rPr>
          <w:rFonts w:ascii="Times New Roman" w:hAnsi="Times New Roman"/>
          <w:bCs/>
          <w:color w:val="000000" w:themeColor="text1"/>
        </w:rPr>
        <w:t xml:space="preserve"> O tratamento de dados pessoais observará a legislação aplicável e os princípios da finalidade, adequação, necessidade, transparência, segurança, prevenção, não discriminação e responsabilização.</w:t>
      </w:r>
    </w:p>
    <w:p w14:paraId="7F5855E5" w14:textId="77777777" w:rsidR="00A9732E" w:rsidRPr="00A9732E" w:rsidRDefault="00A9732E" w:rsidP="00A9732E">
      <w:pPr>
        <w:spacing w:line="360" w:lineRule="auto"/>
        <w:ind w:firstLine="708"/>
        <w:rPr>
          <w:rFonts w:ascii="Times New Roman" w:hAnsi="Times New Roman"/>
          <w:bCs/>
          <w:color w:val="000000" w:themeColor="text1"/>
        </w:rPr>
      </w:pPr>
      <w:r w:rsidRPr="00DE4AEC">
        <w:rPr>
          <w:rFonts w:ascii="Times New Roman" w:hAnsi="Times New Roman"/>
          <w:b/>
          <w:color w:val="000000" w:themeColor="text1"/>
        </w:rPr>
        <w:t>Art. 15.</w:t>
      </w:r>
      <w:r w:rsidRPr="00A9732E">
        <w:rPr>
          <w:rFonts w:ascii="Times New Roman" w:hAnsi="Times New Roman"/>
          <w:bCs/>
          <w:color w:val="000000" w:themeColor="text1"/>
        </w:rPr>
        <w:t xml:space="preserve"> A coleta de dados será limitada ao mínimo necessário, com informação clara à titular sobre uso, compartilhamento, retenção, direitos e canais de atendimento.</w:t>
      </w:r>
    </w:p>
    <w:p w14:paraId="7AE42F78" w14:textId="21E439AC" w:rsidR="00A9732E" w:rsidRPr="00A9732E" w:rsidRDefault="00A9732E" w:rsidP="00A9732E">
      <w:pPr>
        <w:spacing w:line="360" w:lineRule="auto"/>
        <w:ind w:firstLine="708"/>
        <w:rPr>
          <w:rFonts w:ascii="Times New Roman" w:hAnsi="Times New Roman"/>
          <w:bCs/>
          <w:color w:val="000000" w:themeColor="text1"/>
        </w:rPr>
      </w:pPr>
      <w:r w:rsidRPr="00DE4AEC">
        <w:rPr>
          <w:rFonts w:ascii="Times New Roman" w:hAnsi="Times New Roman"/>
          <w:b/>
          <w:color w:val="000000" w:themeColor="text1"/>
        </w:rPr>
        <w:t>§</w:t>
      </w:r>
      <w:r w:rsidR="00DE4AEC">
        <w:rPr>
          <w:rFonts w:ascii="Times New Roman" w:hAnsi="Times New Roman"/>
          <w:b/>
          <w:color w:val="000000" w:themeColor="text1"/>
        </w:rPr>
        <w:t xml:space="preserve"> </w:t>
      </w:r>
      <w:r w:rsidRPr="00DE4AEC">
        <w:rPr>
          <w:rFonts w:ascii="Times New Roman" w:hAnsi="Times New Roman"/>
          <w:b/>
          <w:color w:val="000000" w:themeColor="text1"/>
        </w:rPr>
        <w:t>1º</w:t>
      </w:r>
      <w:r w:rsidR="00DE4AEC">
        <w:rPr>
          <w:rFonts w:ascii="Times New Roman" w:hAnsi="Times New Roman"/>
          <w:bCs/>
          <w:color w:val="000000" w:themeColor="text1"/>
        </w:rPr>
        <w:t xml:space="preserve"> </w:t>
      </w:r>
      <w:r w:rsidRPr="00A9732E">
        <w:rPr>
          <w:rFonts w:ascii="Times New Roman" w:hAnsi="Times New Roman"/>
          <w:bCs/>
          <w:color w:val="000000" w:themeColor="text1"/>
        </w:rPr>
        <w:t>A localização precisa somente será tratada quando necessária à funcionalidade solicitada ou ao fluxo assistencial, facultada, quando possível, a busca aproximada ou manual.</w:t>
      </w:r>
    </w:p>
    <w:p w14:paraId="1EFE0369" w14:textId="5BB6FA02" w:rsidR="00A9732E" w:rsidRPr="00A9732E" w:rsidRDefault="00A9732E" w:rsidP="00A9732E">
      <w:pPr>
        <w:spacing w:line="360" w:lineRule="auto"/>
        <w:ind w:firstLine="708"/>
        <w:rPr>
          <w:rFonts w:ascii="Times New Roman" w:hAnsi="Times New Roman"/>
          <w:bCs/>
          <w:color w:val="000000" w:themeColor="text1"/>
        </w:rPr>
      </w:pPr>
      <w:r w:rsidRPr="00DE4AEC">
        <w:rPr>
          <w:rFonts w:ascii="Times New Roman" w:hAnsi="Times New Roman"/>
          <w:b/>
          <w:color w:val="000000" w:themeColor="text1"/>
        </w:rPr>
        <w:t>§ 2º</w:t>
      </w:r>
      <w:r w:rsidR="00DE4AEC">
        <w:rPr>
          <w:rFonts w:ascii="Times New Roman" w:hAnsi="Times New Roman"/>
          <w:bCs/>
          <w:color w:val="000000" w:themeColor="text1"/>
        </w:rPr>
        <w:t xml:space="preserve"> </w:t>
      </w:r>
      <w:r w:rsidRPr="00A9732E">
        <w:rPr>
          <w:rFonts w:ascii="Times New Roman" w:hAnsi="Times New Roman"/>
          <w:bCs/>
          <w:color w:val="000000" w:themeColor="text1"/>
        </w:rPr>
        <w:t>Dados individualizados de saúde, localização, doação, contato e identificação não integrarão o painel público nem serão usados para publicidade comportamental ou discriminação.</w:t>
      </w:r>
    </w:p>
    <w:p w14:paraId="11D58D84" w14:textId="599F817C" w:rsidR="00A9732E" w:rsidRPr="00A9732E" w:rsidRDefault="00A9732E" w:rsidP="00A9732E">
      <w:pPr>
        <w:spacing w:line="360" w:lineRule="auto"/>
        <w:ind w:firstLine="708"/>
        <w:rPr>
          <w:rFonts w:ascii="Times New Roman" w:hAnsi="Times New Roman"/>
          <w:bCs/>
          <w:color w:val="000000" w:themeColor="text1"/>
        </w:rPr>
      </w:pPr>
      <w:r w:rsidRPr="00DE4AEC">
        <w:rPr>
          <w:rFonts w:ascii="Times New Roman" w:hAnsi="Times New Roman"/>
          <w:b/>
          <w:color w:val="000000" w:themeColor="text1"/>
        </w:rPr>
        <w:t>§ 3º</w:t>
      </w:r>
      <w:r w:rsidR="00DE4AEC">
        <w:rPr>
          <w:rFonts w:ascii="Times New Roman" w:hAnsi="Times New Roman"/>
          <w:bCs/>
          <w:color w:val="000000" w:themeColor="text1"/>
        </w:rPr>
        <w:t xml:space="preserve"> </w:t>
      </w:r>
      <w:r w:rsidRPr="00A9732E">
        <w:rPr>
          <w:rFonts w:ascii="Times New Roman" w:hAnsi="Times New Roman"/>
          <w:bCs/>
          <w:color w:val="000000" w:themeColor="text1"/>
        </w:rPr>
        <w:t>O compartilhamento entre órgãos e serviços será limitado às finalidades autorizadas, com registro, controle de acesso e medidas proporcionais ao risco.</w:t>
      </w:r>
    </w:p>
    <w:p w14:paraId="48A2C789" w14:textId="77777777" w:rsidR="00A9732E" w:rsidRPr="00A9732E" w:rsidRDefault="00A9732E" w:rsidP="00A9732E">
      <w:pPr>
        <w:spacing w:line="360" w:lineRule="auto"/>
        <w:ind w:firstLine="708"/>
        <w:rPr>
          <w:rFonts w:ascii="Times New Roman" w:hAnsi="Times New Roman"/>
          <w:bCs/>
          <w:color w:val="000000" w:themeColor="text1"/>
        </w:rPr>
      </w:pPr>
      <w:r w:rsidRPr="00DE4AEC">
        <w:rPr>
          <w:rFonts w:ascii="Times New Roman" w:hAnsi="Times New Roman"/>
          <w:b/>
          <w:color w:val="000000" w:themeColor="text1"/>
        </w:rPr>
        <w:t>Art. 16.</w:t>
      </w:r>
      <w:r w:rsidRPr="00A9732E">
        <w:rPr>
          <w:rFonts w:ascii="Times New Roman" w:hAnsi="Times New Roman"/>
          <w:bCs/>
          <w:color w:val="000000" w:themeColor="text1"/>
        </w:rPr>
        <w:t xml:space="preserve"> A governança da solução digital contemplará, no mínimo:</w:t>
      </w:r>
    </w:p>
    <w:p w14:paraId="27CDB0A8"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 – </w:t>
      </w:r>
      <w:proofErr w:type="gramStart"/>
      <w:r w:rsidRPr="00A9732E">
        <w:rPr>
          <w:rFonts w:ascii="Times New Roman" w:hAnsi="Times New Roman"/>
          <w:bCs/>
          <w:color w:val="000000" w:themeColor="text1"/>
        </w:rPr>
        <w:t>gestão</w:t>
      </w:r>
      <w:proofErr w:type="gramEnd"/>
      <w:r w:rsidRPr="00A9732E">
        <w:rPr>
          <w:rFonts w:ascii="Times New Roman" w:hAnsi="Times New Roman"/>
          <w:bCs/>
          <w:color w:val="000000" w:themeColor="text1"/>
        </w:rPr>
        <w:t xml:space="preserve"> de identidades e perfis de acesso;</w:t>
      </w:r>
    </w:p>
    <w:p w14:paraId="18FEE75D" w14:textId="6F805B2C"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lastRenderedPageBreak/>
        <w:t xml:space="preserve">II – </w:t>
      </w:r>
      <w:proofErr w:type="gramStart"/>
      <w:r w:rsidRPr="00A9732E">
        <w:rPr>
          <w:rFonts w:ascii="Times New Roman" w:hAnsi="Times New Roman"/>
          <w:bCs/>
          <w:color w:val="000000" w:themeColor="text1"/>
        </w:rPr>
        <w:t>proteção</w:t>
      </w:r>
      <w:proofErr w:type="gramEnd"/>
      <w:r w:rsidRPr="00A9732E">
        <w:rPr>
          <w:rFonts w:ascii="Times New Roman" w:hAnsi="Times New Roman"/>
          <w:bCs/>
          <w:color w:val="000000" w:themeColor="text1"/>
        </w:rPr>
        <w:t xml:space="preserve"> de dados em trânsito e em repouso;</w:t>
      </w:r>
    </w:p>
    <w:p w14:paraId="05FE9575"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III – registros e trilhas de auditoria;</w:t>
      </w:r>
    </w:p>
    <w:p w14:paraId="12B86599"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IV – </w:t>
      </w:r>
      <w:proofErr w:type="gramStart"/>
      <w:r w:rsidRPr="00A9732E">
        <w:rPr>
          <w:rFonts w:ascii="Times New Roman" w:hAnsi="Times New Roman"/>
          <w:bCs/>
          <w:color w:val="000000" w:themeColor="text1"/>
        </w:rPr>
        <w:t>plano</w:t>
      </w:r>
      <w:proofErr w:type="gramEnd"/>
      <w:r w:rsidRPr="00A9732E">
        <w:rPr>
          <w:rFonts w:ascii="Times New Roman" w:hAnsi="Times New Roman"/>
          <w:bCs/>
          <w:color w:val="000000" w:themeColor="text1"/>
        </w:rPr>
        <w:t xml:space="preserve"> de resposta a incidentes;</w:t>
      </w:r>
    </w:p>
    <w:p w14:paraId="471E6BFC"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V – </w:t>
      </w:r>
      <w:proofErr w:type="gramStart"/>
      <w:r w:rsidRPr="00A9732E">
        <w:rPr>
          <w:rFonts w:ascii="Times New Roman" w:hAnsi="Times New Roman"/>
          <w:bCs/>
          <w:color w:val="000000" w:themeColor="text1"/>
        </w:rPr>
        <w:t>cópias</w:t>
      </w:r>
      <w:proofErr w:type="gramEnd"/>
      <w:r w:rsidRPr="00A9732E">
        <w:rPr>
          <w:rFonts w:ascii="Times New Roman" w:hAnsi="Times New Roman"/>
          <w:bCs/>
          <w:color w:val="000000" w:themeColor="text1"/>
        </w:rPr>
        <w:t xml:space="preserve"> de segurança, continuidade e recuperação;</w:t>
      </w:r>
    </w:p>
    <w:p w14:paraId="75216E5F"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VI – </w:t>
      </w:r>
      <w:proofErr w:type="gramStart"/>
      <w:r w:rsidRPr="00A9732E">
        <w:rPr>
          <w:rFonts w:ascii="Times New Roman" w:hAnsi="Times New Roman"/>
          <w:bCs/>
          <w:color w:val="000000" w:themeColor="text1"/>
        </w:rPr>
        <w:t>avaliação</w:t>
      </w:r>
      <w:proofErr w:type="gramEnd"/>
      <w:r w:rsidRPr="00A9732E">
        <w:rPr>
          <w:rFonts w:ascii="Times New Roman" w:hAnsi="Times New Roman"/>
          <w:bCs/>
          <w:color w:val="000000" w:themeColor="text1"/>
        </w:rPr>
        <w:t xml:space="preserve"> periódica de segurança, privacidade, acessibilidade e qualidade;</w:t>
      </w:r>
    </w:p>
    <w:p w14:paraId="1E942BD3"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VII – retenção e descarte seguro; e</w:t>
      </w:r>
    </w:p>
    <w:p w14:paraId="3561F420" w14:textId="77777777" w:rsid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VIII – interoperabilidade e portabilidade que evitem dependência tecnológica indevida.</w:t>
      </w:r>
    </w:p>
    <w:p w14:paraId="752B4949" w14:textId="77777777" w:rsidR="001F7C50" w:rsidRPr="00A9732E" w:rsidRDefault="001F7C50" w:rsidP="00A9732E">
      <w:pPr>
        <w:spacing w:line="360" w:lineRule="auto"/>
        <w:ind w:firstLine="708"/>
        <w:rPr>
          <w:rFonts w:ascii="Times New Roman" w:hAnsi="Times New Roman"/>
          <w:bCs/>
          <w:color w:val="000000" w:themeColor="text1"/>
        </w:rPr>
      </w:pPr>
    </w:p>
    <w:p w14:paraId="09DF4B7E" w14:textId="77777777" w:rsidR="00A9732E" w:rsidRPr="00A9732E" w:rsidRDefault="00A9732E" w:rsidP="00DE4AEC">
      <w:pPr>
        <w:spacing w:line="360" w:lineRule="auto"/>
        <w:jc w:val="center"/>
        <w:rPr>
          <w:rFonts w:ascii="Times New Roman" w:hAnsi="Times New Roman"/>
          <w:bCs/>
          <w:color w:val="000000" w:themeColor="text1"/>
        </w:rPr>
      </w:pPr>
      <w:r w:rsidRPr="00A9732E">
        <w:rPr>
          <w:rFonts w:ascii="Times New Roman" w:hAnsi="Times New Roman"/>
          <w:b/>
          <w:bCs/>
          <w:color w:val="000000" w:themeColor="text1"/>
        </w:rPr>
        <w:t>CAPÍTULO VI – DA TRANSPARÊNCIA, AVALIAÇÃO E PARTICIPAÇÃO</w:t>
      </w:r>
    </w:p>
    <w:p w14:paraId="565FC869" w14:textId="77777777" w:rsidR="00A9732E" w:rsidRPr="00A9732E" w:rsidRDefault="00A9732E" w:rsidP="00A9732E">
      <w:pPr>
        <w:spacing w:line="360" w:lineRule="auto"/>
        <w:ind w:firstLine="708"/>
        <w:rPr>
          <w:rFonts w:ascii="Times New Roman" w:hAnsi="Times New Roman"/>
          <w:bCs/>
          <w:color w:val="000000" w:themeColor="text1"/>
        </w:rPr>
      </w:pPr>
      <w:r w:rsidRPr="00DE4AEC">
        <w:rPr>
          <w:rFonts w:ascii="Times New Roman" w:hAnsi="Times New Roman"/>
          <w:b/>
          <w:color w:val="000000" w:themeColor="text1"/>
        </w:rPr>
        <w:t>Art. 17.</w:t>
      </w:r>
      <w:r w:rsidRPr="00A9732E">
        <w:rPr>
          <w:rFonts w:ascii="Times New Roman" w:hAnsi="Times New Roman"/>
          <w:bCs/>
          <w:color w:val="000000" w:themeColor="text1"/>
        </w:rPr>
        <w:t xml:space="preserve"> Serão divulgados periodicamente, em formato agregado, indicadores da </w:t>
      </w:r>
      <w:proofErr w:type="spellStart"/>
      <w:r w:rsidRPr="00A9732E">
        <w:rPr>
          <w:rFonts w:ascii="Times New Roman" w:hAnsi="Times New Roman"/>
          <w:bCs/>
          <w:color w:val="000000" w:themeColor="text1"/>
        </w:rPr>
        <w:t>RedeLeite</w:t>
      </w:r>
      <w:proofErr w:type="spellEnd"/>
      <w:r w:rsidRPr="00A9732E">
        <w:rPr>
          <w:rFonts w:ascii="Times New Roman" w:hAnsi="Times New Roman"/>
          <w:bCs/>
          <w:color w:val="000000" w:themeColor="text1"/>
        </w:rPr>
        <w:t xml:space="preserve"> MA, incluindo, quando disponíveis:</w:t>
      </w:r>
    </w:p>
    <w:p w14:paraId="3398415B"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 – </w:t>
      </w:r>
      <w:proofErr w:type="gramStart"/>
      <w:r w:rsidRPr="00A9732E">
        <w:rPr>
          <w:rFonts w:ascii="Times New Roman" w:hAnsi="Times New Roman"/>
          <w:bCs/>
          <w:color w:val="000000" w:themeColor="text1"/>
        </w:rPr>
        <w:t>cobertura</w:t>
      </w:r>
      <w:proofErr w:type="gramEnd"/>
      <w:r w:rsidRPr="00A9732E">
        <w:rPr>
          <w:rFonts w:ascii="Times New Roman" w:hAnsi="Times New Roman"/>
          <w:bCs/>
          <w:color w:val="000000" w:themeColor="text1"/>
        </w:rPr>
        <w:t xml:space="preserve"> territorial;</w:t>
      </w:r>
    </w:p>
    <w:p w14:paraId="73101865"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II – </w:t>
      </w:r>
      <w:proofErr w:type="gramStart"/>
      <w:r w:rsidRPr="00A9732E">
        <w:rPr>
          <w:rFonts w:ascii="Times New Roman" w:hAnsi="Times New Roman"/>
          <w:bCs/>
          <w:color w:val="000000" w:themeColor="text1"/>
        </w:rPr>
        <w:t>manifestações</w:t>
      </w:r>
      <w:proofErr w:type="gramEnd"/>
      <w:r w:rsidRPr="00A9732E">
        <w:rPr>
          <w:rFonts w:ascii="Times New Roman" w:hAnsi="Times New Roman"/>
          <w:bCs/>
          <w:color w:val="000000" w:themeColor="text1"/>
        </w:rPr>
        <w:t xml:space="preserve"> de interesse, doadoras habilitadas e coletas;</w:t>
      </w:r>
    </w:p>
    <w:p w14:paraId="4B84E0D0"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III – </w:t>
      </w:r>
      <w:proofErr w:type="gramStart"/>
      <w:r w:rsidRPr="00A9732E">
        <w:rPr>
          <w:rFonts w:ascii="Times New Roman" w:hAnsi="Times New Roman"/>
          <w:bCs/>
          <w:color w:val="000000" w:themeColor="text1"/>
        </w:rPr>
        <w:t>volumes coletado</w:t>
      </w:r>
      <w:proofErr w:type="gramEnd"/>
      <w:r w:rsidRPr="00A9732E">
        <w:rPr>
          <w:rFonts w:ascii="Times New Roman" w:hAnsi="Times New Roman"/>
          <w:bCs/>
          <w:color w:val="000000" w:themeColor="text1"/>
        </w:rPr>
        <w:t>, processado, aprovado, distribuído e descartado;</w:t>
      </w:r>
    </w:p>
    <w:p w14:paraId="43B16ACC"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IV – </w:t>
      </w:r>
      <w:proofErr w:type="gramStart"/>
      <w:r w:rsidRPr="00A9732E">
        <w:rPr>
          <w:rFonts w:ascii="Times New Roman" w:hAnsi="Times New Roman"/>
          <w:bCs/>
          <w:color w:val="000000" w:themeColor="text1"/>
        </w:rPr>
        <w:t>tempo</w:t>
      </w:r>
      <w:proofErr w:type="gramEnd"/>
      <w:r w:rsidRPr="00A9732E">
        <w:rPr>
          <w:rFonts w:ascii="Times New Roman" w:hAnsi="Times New Roman"/>
          <w:bCs/>
          <w:color w:val="000000" w:themeColor="text1"/>
        </w:rPr>
        <w:t xml:space="preserve"> entre manifestação, contato, coleta e processamento;</w:t>
      </w:r>
    </w:p>
    <w:p w14:paraId="085AE8C8"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 xml:space="preserve">V – </w:t>
      </w:r>
      <w:proofErr w:type="gramStart"/>
      <w:r w:rsidRPr="00A9732E">
        <w:rPr>
          <w:rFonts w:ascii="Times New Roman" w:hAnsi="Times New Roman"/>
          <w:bCs/>
          <w:color w:val="000000" w:themeColor="text1"/>
        </w:rPr>
        <w:t>situação</w:t>
      </w:r>
      <w:proofErr w:type="gramEnd"/>
      <w:r w:rsidRPr="00A9732E">
        <w:rPr>
          <w:rFonts w:ascii="Times New Roman" w:hAnsi="Times New Roman"/>
          <w:bCs/>
          <w:color w:val="000000" w:themeColor="text1"/>
        </w:rPr>
        <w:t xml:space="preserve"> dos estoques por região de saúde;</w:t>
      </w:r>
    </w:p>
    <w:p w14:paraId="22A0FDE0"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VI – atendimentos e encaminhamentos de apoio à amamentação;</w:t>
      </w:r>
    </w:p>
    <w:p w14:paraId="15383D37"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VII – disponibilidade, atualização e acessibilidade da plataforma; e</w:t>
      </w:r>
    </w:p>
    <w:p w14:paraId="29911B5B" w14:textId="77777777" w:rsidR="00A9732E" w:rsidRPr="00A9732E" w:rsidRDefault="00A9732E" w:rsidP="00A9732E">
      <w:pPr>
        <w:spacing w:line="360" w:lineRule="auto"/>
        <w:ind w:firstLine="708"/>
        <w:rPr>
          <w:rFonts w:ascii="Times New Roman" w:hAnsi="Times New Roman"/>
          <w:bCs/>
          <w:color w:val="000000" w:themeColor="text1"/>
        </w:rPr>
      </w:pPr>
      <w:r w:rsidRPr="00A9732E">
        <w:rPr>
          <w:rFonts w:ascii="Times New Roman" w:hAnsi="Times New Roman"/>
          <w:bCs/>
          <w:color w:val="000000" w:themeColor="text1"/>
        </w:rPr>
        <w:t>VIII – desigualdades territoriais relevantes ao planejamento.</w:t>
      </w:r>
    </w:p>
    <w:p w14:paraId="3ED34AA0" w14:textId="77777777" w:rsidR="00A9732E" w:rsidRPr="00A9732E" w:rsidRDefault="00A9732E" w:rsidP="00A9732E">
      <w:pPr>
        <w:spacing w:line="360" w:lineRule="auto"/>
        <w:ind w:firstLine="708"/>
        <w:rPr>
          <w:rFonts w:ascii="Times New Roman" w:hAnsi="Times New Roman"/>
          <w:bCs/>
          <w:color w:val="000000" w:themeColor="text1"/>
        </w:rPr>
      </w:pPr>
      <w:r w:rsidRPr="00DE4AEC">
        <w:rPr>
          <w:rFonts w:ascii="Times New Roman" w:hAnsi="Times New Roman"/>
          <w:b/>
          <w:color w:val="000000" w:themeColor="text1"/>
        </w:rPr>
        <w:t>Art. 18</w:t>
      </w:r>
      <w:r w:rsidRPr="00A9732E">
        <w:rPr>
          <w:rFonts w:ascii="Times New Roman" w:hAnsi="Times New Roman"/>
          <w:bCs/>
          <w:color w:val="000000" w:themeColor="text1"/>
        </w:rPr>
        <w:t>. A avaliação considerará a participação de usuárias, trabalhadores, gestores, especialistas, Municípios e instâncias de controle social do SUS.</w:t>
      </w:r>
    </w:p>
    <w:p w14:paraId="4AE2AA6D" w14:textId="77777777" w:rsidR="00A9732E" w:rsidRDefault="00A9732E" w:rsidP="00A9732E">
      <w:pPr>
        <w:spacing w:line="360" w:lineRule="auto"/>
        <w:ind w:firstLine="708"/>
        <w:rPr>
          <w:rFonts w:ascii="Times New Roman" w:hAnsi="Times New Roman"/>
          <w:bCs/>
          <w:color w:val="000000" w:themeColor="text1"/>
        </w:rPr>
      </w:pPr>
      <w:r w:rsidRPr="00DE4AEC">
        <w:rPr>
          <w:rFonts w:ascii="Times New Roman" w:hAnsi="Times New Roman"/>
          <w:b/>
          <w:color w:val="000000" w:themeColor="text1"/>
        </w:rPr>
        <w:t>Art. 19.</w:t>
      </w:r>
      <w:r w:rsidRPr="00A9732E">
        <w:rPr>
          <w:rFonts w:ascii="Times New Roman" w:hAnsi="Times New Roman"/>
          <w:bCs/>
          <w:color w:val="000000" w:themeColor="text1"/>
        </w:rPr>
        <w:t xml:space="preserve"> Poderão ser realizas campanhas e interfaces que, dentre outras iniciativas, evitarão pressão, culpa, promessa de resultado clínico e exploração comercial da maternidade, adotando persuasão ética baseada em autonomia, solidariedade e informação adequada.</w:t>
      </w:r>
    </w:p>
    <w:p w14:paraId="05E5B505" w14:textId="77777777" w:rsidR="00DE4AEC" w:rsidRDefault="00DE4AEC" w:rsidP="00A9732E">
      <w:pPr>
        <w:spacing w:line="360" w:lineRule="auto"/>
        <w:ind w:firstLine="708"/>
        <w:rPr>
          <w:rFonts w:ascii="Times New Roman" w:hAnsi="Times New Roman"/>
          <w:bCs/>
          <w:color w:val="000000" w:themeColor="text1"/>
        </w:rPr>
      </w:pPr>
    </w:p>
    <w:p w14:paraId="42E2D44A" w14:textId="77777777" w:rsidR="001F7C50" w:rsidRDefault="001F7C50" w:rsidP="00A9732E">
      <w:pPr>
        <w:spacing w:line="360" w:lineRule="auto"/>
        <w:ind w:firstLine="708"/>
        <w:rPr>
          <w:rFonts w:ascii="Times New Roman" w:hAnsi="Times New Roman"/>
          <w:bCs/>
          <w:color w:val="000000" w:themeColor="text1"/>
        </w:rPr>
      </w:pPr>
    </w:p>
    <w:p w14:paraId="29339691" w14:textId="77777777" w:rsidR="001F7C50" w:rsidRPr="00A9732E" w:rsidRDefault="001F7C50" w:rsidP="00A9732E">
      <w:pPr>
        <w:spacing w:line="360" w:lineRule="auto"/>
        <w:ind w:firstLine="708"/>
        <w:rPr>
          <w:rFonts w:ascii="Times New Roman" w:hAnsi="Times New Roman"/>
          <w:bCs/>
          <w:color w:val="000000" w:themeColor="text1"/>
        </w:rPr>
      </w:pPr>
    </w:p>
    <w:p w14:paraId="74B0EA51" w14:textId="77777777" w:rsidR="00A9732E" w:rsidRPr="00A9732E" w:rsidRDefault="00A9732E" w:rsidP="00DE4AEC">
      <w:pPr>
        <w:spacing w:line="360" w:lineRule="auto"/>
        <w:jc w:val="center"/>
        <w:rPr>
          <w:rFonts w:ascii="Times New Roman" w:hAnsi="Times New Roman"/>
          <w:bCs/>
          <w:color w:val="000000" w:themeColor="text1"/>
        </w:rPr>
      </w:pPr>
      <w:r w:rsidRPr="00A9732E">
        <w:rPr>
          <w:rFonts w:ascii="Times New Roman" w:hAnsi="Times New Roman"/>
          <w:b/>
          <w:bCs/>
          <w:color w:val="000000" w:themeColor="text1"/>
        </w:rPr>
        <w:lastRenderedPageBreak/>
        <w:t>CAPÍTULO VII – DISPOSIÇÕES FINAIS</w:t>
      </w:r>
    </w:p>
    <w:p w14:paraId="421A13A5" w14:textId="77777777" w:rsidR="00A9732E" w:rsidRPr="00A9732E" w:rsidRDefault="00A9732E" w:rsidP="00A9732E">
      <w:pPr>
        <w:spacing w:line="360" w:lineRule="auto"/>
        <w:ind w:firstLine="708"/>
        <w:rPr>
          <w:rFonts w:ascii="Times New Roman" w:hAnsi="Times New Roman"/>
          <w:bCs/>
          <w:color w:val="000000" w:themeColor="text1"/>
        </w:rPr>
      </w:pPr>
      <w:r w:rsidRPr="00DE4AEC">
        <w:rPr>
          <w:rFonts w:ascii="Times New Roman" w:hAnsi="Times New Roman"/>
          <w:b/>
          <w:color w:val="000000" w:themeColor="text1"/>
        </w:rPr>
        <w:t>Art. 20.</w:t>
      </w:r>
      <w:r w:rsidRPr="00A9732E">
        <w:rPr>
          <w:rFonts w:ascii="Times New Roman" w:hAnsi="Times New Roman"/>
          <w:bCs/>
          <w:color w:val="000000" w:themeColor="text1"/>
        </w:rPr>
        <w:t xml:space="preserve"> A implementação ocorrerá progressivamente, conforme capacidade operacional, disponibilidade de dados validados e planejamento do SUS no Estado.</w:t>
      </w:r>
    </w:p>
    <w:p w14:paraId="7D708245" w14:textId="77777777" w:rsidR="00A9732E" w:rsidRPr="00A9732E" w:rsidRDefault="00A9732E" w:rsidP="00A9732E">
      <w:pPr>
        <w:spacing w:line="360" w:lineRule="auto"/>
        <w:ind w:firstLine="708"/>
        <w:rPr>
          <w:rFonts w:ascii="Times New Roman" w:hAnsi="Times New Roman"/>
          <w:bCs/>
          <w:color w:val="000000" w:themeColor="text1"/>
        </w:rPr>
      </w:pPr>
      <w:r w:rsidRPr="00DE4AEC">
        <w:rPr>
          <w:rFonts w:ascii="Times New Roman" w:hAnsi="Times New Roman"/>
          <w:b/>
          <w:color w:val="000000" w:themeColor="text1"/>
        </w:rPr>
        <w:t>Art. 21.</w:t>
      </w:r>
      <w:r w:rsidRPr="00A9732E">
        <w:rPr>
          <w:rFonts w:ascii="Times New Roman" w:hAnsi="Times New Roman"/>
          <w:bCs/>
          <w:color w:val="000000" w:themeColor="text1"/>
        </w:rPr>
        <w:t xml:space="preserve"> Eventuais despesas correrão à conta de dotações próprias, observadas a disponibilidade financeira e as normas de responsabilidade fiscal, podendo ser suplementadas na forma da legislação.</w:t>
      </w:r>
    </w:p>
    <w:p w14:paraId="60428F65" w14:textId="77777777" w:rsidR="00A9732E" w:rsidRPr="00A9732E" w:rsidRDefault="00A9732E" w:rsidP="00A9732E">
      <w:pPr>
        <w:spacing w:line="360" w:lineRule="auto"/>
        <w:ind w:firstLine="708"/>
        <w:rPr>
          <w:rFonts w:ascii="Times New Roman" w:hAnsi="Times New Roman"/>
          <w:bCs/>
          <w:color w:val="000000" w:themeColor="text1"/>
        </w:rPr>
      </w:pPr>
      <w:r w:rsidRPr="00DE4AEC">
        <w:rPr>
          <w:rFonts w:ascii="Times New Roman" w:hAnsi="Times New Roman"/>
          <w:b/>
          <w:color w:val="000000" w:themeColor="text1"/>
        </w:rPr>
        <w:t>Art. 22.</w:t>
      </w:r>
      <w:r w:rsidRPr="00A9732E">
        <w:rPr>
          <w:rFonts w:ascii="Times New Roman" w:hAnsi="Times New Roman"/>
          <w:bCs/>
          <w:color w:val="000000" w:themeColor="text1"/>
        </w:rPr>
        <w:t xml:space="preserve"> O Poder Executivo poderá regulamentar esta Lei para assegurar sua execução, observados os limites de sua competência e a legislação federal superveniente.</w:t>
      </w:r>
    </w:p>
    <w:p w14:paraId="43702DD3" w14:textId="585E27B4" w:rsidR="003A2603" w:rsidRDefault="00A9732E" w:rsidP="00DE4AEC">
      <w:pPr>
        <w:spacing w:line="360" w:lineRule="auto"/>
        <w:ind w:firstLine="708"/>
        <w:rPr>
          <w:rFonts w:ascii="Times New Roman" w:hAnsi="Times New Roman"/>
          <w:bCs/>
          <w:color w:val="000000" w:themeColor="text1"/>
        </w:rPr>
      </w:pPr>
      <w:r w:rsidRPr="00DE4AEC">
        <w:rPr>
          <w:rFonts w:ascii="Times New Roman" w:hAnsi="Times New Roman"/>
          <w:b/>
          <w:color w:val="000000" w:themeColor="text1"/>
        </w:rPr>
        <w:t>Art. 23.</w:t>
      </w:r>
      <w:r w:rsidRPr="00A9732E">
        <w:rPr>
          <w:rFonts w:ascii="Times New Roman" w:hAnsi="Times New Roman"/>
          <w:bCs/>
          <w:color w:val="000000" w:themeColor="text1"/>
        </w:rPr>
        <w:t xml:space="preserve"> Esta Lei entra em vigor após decorridos 90 (noventa) dias de sua publicação oficial.</w:t>
      </w:r>
    </w:p>
    <w:p w14:paraId="0F8CD940" w14:textId="6B002975" w:rsidR="005368C5" w:rsidRDefault="00AA7DFD" w:rsidP="00AA7DFD">
      <w:pPr>
        <w:spacing w:line="360" w:lineRule="auto"/>
        <w:jc w:val="center"/>
        <w:rPr>
          <w:rFonts w:ascii="Times New Roman" w:hAnsi="Times New Roman"/>
          <w:bCs/>
          <w:color w:val="000000" w:themeColor="text1"/>
        </w:rPr>
      </w:pPr>
      <w:r w:rsidRPr="00AA7DFD">
        <w:rPr>
          <w:rFonts w:ascii="Times New Roman" w:hAnsi="Times New Roman"/>
          <w:b/>
          <w:color w:val="000000" w:themeColor="text1"/>
        </w:rPr>
        <w:t>Assembleia Legislativa do Maranhão</w:t>
      </w:r>
      <w:r>
        <w:rPr>
          <w:rFonts w:ascii="Times New Roman" w:hAnsi="Times New Roman"/>
          <w:bCs/>
          <w:color w:val="000000" w:themeColor="text1"/>
        </w:rPr>
        <w:t>, em 10 de agosto de 2026.</w:t>
      </w:r>
    </w:p>
    <w:p w14:paraId="1C11341C" w14:textId="77777777" w:rsidR="00AA7DFD" w:rsidRDefault="00AA7DFD" w:rsidP="005368C5">
      <w:pPr>
        <w:spacing w:line="360" w:lineRule="auto"/>
        <w:rPr>
          <w:rFonts w:ascii="Times New Roman" w:hAnsi="Times New Roman"/>
          <w:bCs/>
          <w:color w:val="000000" w:themeColor="text1"/>
        </w:rPr>
      </w:pPr>
    </w:p>
    <w:p w14:paraId="7F90A468" w14:textId="77777777" w:rsidR="00AA7DFD" w:rsidRDefault="00AA7DFD" w:rsidP="005368C5">
      <w:pPr>
        <w:spacing w:line="360" w:lineRule="auto"/>
        <w:rPr>
          <w:rFonts w:ascii="Times New Roman" w:hAnsi="Times New Roman"/>
          <w:bCs/>
          <w:color w:val="000000" w:themeColor="text1"/>
        </w:rPr>
      </w:pPr>
    </w:p>
    <w:p w14:paraId="6CCDD026" w14:textId="08E016D0" w:rsidR="003A2603" w:rsidRPr="003A2603" w:rsidRDefault="003A2603" w:rsidP="003A2603">
      <w:pPr>
        <w:ind w:firstLine="708"/>
        <w:jc w:val="center"/>
        <w:rPr>
          <w:rFonts w:ascii="Times New Roman" w:hAnsi="Times New Roman"/>
          <w:b/>
          <w:color w:val="000000" w:themeColor="text1"/>
        </w:rPr>
      </w:pPr>
      <w:r w:rsidRPr="003A2603">
        <w:rPr>
          <w:rFonts w:ascii="Times New Roman" w:hAnsi="Times New Roman"/>
          <w:b/>
          <w:color w:val="000000" w:themeColor="text1"/>
        </w:rPr>
        <w:t>DR. YGLÉSIO</w:t>
      </w:r>
    </w:p>
    <w:p w14:paraId="5E29E918" w14:textId="753E84C9" w:rsidR="003A2603" w:rsidRPr="00F92019" w:rsidRDefault="003A2603" w:rsidP="00F92019">
      <w:pPr>
        <w:ind w:firstLine="708"/>
        <w:jc w:val="center"/>
        <w:rPr>
          <w:rFonts w:ascii="Times New Roman" w:hAnsi="Times New Roman"/>
          <w:b/>
          <w:color w:val="000000" w:themeColor="text1"/>
        </w:rPr>
      </w:pPr>
      <w:r w:rsidRPr="003A2603">
        <w:rPr>
          <w:rFonts w:ascii="Times New Roman" w:hAnsi="Times New Roman"/>
          <w:b/>
          <w:color w:val="000000" w:themeColor="text1"/>
        </w:rPr>
        <w:t>DEPUTADO ESTADUAL</w:t>
      </w:r>
    </w:p>
    <w:p w14:paraId="38C16BBA" w14:textId="77777777" w:rsidR="005368C5" w:rsidRDefault="005368C5" w:rsidP="00043FA7">
      <w:pPr>
        <w:jc w:val="center"/>
        <w:rPr>
          <w:rFonts w:ascii="Times New Roman" w:hAnsi="Times New Roman"/>
          <w:b/>
          <w:color w:val="000000" w:themeColor="text1"/>
        </w:rPr>
      </w:pPr>
    </w:p>
    <w:p w14:paraId="337C39DD" w14:textId="77777777" w:rsidR="005368C5" w:rsidRDefault="005368C5" w:rsidP="00043FA7">
      <w:pPr>
        <w:jc w:val="center"/>
        <w:rPr>
          <w:rFonts w:ascii="Times New Roman" w:hAnsi="Times New Roman"/>
          <w:b/>
          <w:color w:val="000000" w:themeColor="text1"/>
        </w:rPr>
      </w:pPr>
    </w:p>
    <w:p w14:paraId="75218E17" w14:textId="77777777" w:rsidR="005368C5" w:rsidRDefault="005368C5" w:rsidP="00043FA7">
      <w:pPr>
        <w:jc w:val="center"/>
        <w:rPr>
          <w:rFonts w:ascii="Times New Roman" w:hAnsi="Times New Roman"/>
          <w:b/>
          <w:color w:val="000000" w:themeColor="text1"/>
        </w:rPr>
      </w:pPr>
    </w:p>
    <w:p w14:paraId="0ECBF7FF" w14:textId="77777777" w:rsidR="005368C5" w:rsidRDefault="005368C5" w:rsidP="00043FA7">
      <w:pPr>
        <w:jc w:val="center"/>
        <w:rPr>
          <w:rFonts w:ascii="Times New Roman" w:hAnsi="Times New Roman"/>
          <w:b/>
          <w:color w:val="000000" w:themeColor="text1"/>
        </w:rPr>
      </w:pPr>
    </w:p>
    <w:p w14:paraId="061A0EBD" w14:textId="77777777" w:rsidR="005368C5" w:rsidRDefault="005368C5" w:rsidP="00043FA7">
      <w:pPr>
        <w:jc w:val="center"/>
        <w:rPr>
          <w:rFonts w:ascii="Times New Roman" w:hAnsi="Times New Roman"/>
          <w:b/>
          <w:color w:val="000000" w:themeColor="text1"/>
        </w:rPr>
      </w:pPr>
    </w:p>
    <w:p w14:paraId="09DBCE8D" w14:textId="77777777" w:rsidR="005368C5" w:rsidRDefault="005368C5" w:rsidP="00043FA7">
      <w:pPr>
        <w:jc w:val="center"/>
        <w:rPr>
          <w:rFonts w:ascii="Times New Roman" w:hAnsi="Times New Roman"/>
          <w:b/>
          <w:color w:val="000000" w:themeColor="text1"/>
        </w:rPr>
      </w:pPr>
    </w:p>
    <w:p w14:paraId="356BA5FB" w14:textId="77777777" w:rsidR="005368C5" w:rsidRDefault="005368C5" w:rsidP="00043FA7">
      <w:pPr>
        <w:jc w:val="center"/>
        <w:rPr>
          <w:rFonts w:ascii="Times New Roman" w:hAnsi="Times New Roman"/>
          <w:b/>
          <w:color w:val="000000" w:themeColor="text1"/>
        </w:rPr>
      </w:pPr>
    </w:p>
    <w:p w14:paraId="7E4BAC65" w14:textId="77777777" w:rsidR="005368C5" w:rsidRDefault="005368C5" w:rsidP="00043FA7">
      <w:pPr>
        <w:jc w:val="center"/>
        <w:rPr>
          <w:rFonts w:ascii="Times New Roman" w:hAnsi="Times New Roman"/>
          <w:b/>
          <w:color w:val="000000" w:themeColor="text1"/>
        </w:rPr>
      </w:pPr>
    </w:p>
    <w:p w14:paraId="79756FFE" w14:textId="77777777" w:rsidR="005368C5" w:rsidRDefault="005368C5" w:rsidP="00043FA7">
      <w:pPr>
        <w:jc w:val="center"/>
        <w:rPr>
          <w:rFonts w:ascii="Times New Roman" w:hAnsi="Times New Roman"/>
          <w:b/>
          <w:color w:val="000000" w:themeColor="text1"/>
        </w:rPr>
      </w:pPr>
    </w:p>
    <w:p w14:paraId="6FF70ABA" w14:textId="77777777" w:rsidR="005368C5" w:rsidRDefault="005368C5" w:rsidP="00043FA7">
      <w:pPr>
        <w:jc w:val="center"/>
        <w:rPr>
          <w:rFonts w:ascii="Times New Roman" w:hAnsi="Times New Roman"/>
          <w:b/>
          <w:color w:val="000000" w:themeColor="text1"/>
        </w:rPr>
      </w:pPr>
    </w:p>
    <w:p w14:paraId="47D024C8" w14:textId="77777777" w:rsidR="005368C5" w:rsidRDefault="005368C5" w:rsidP="00043FA7">
      <w:pPr>
        <w:jc w:val="center"/>
        <w:rPr>
          <w:rFonts w:ascii="Times New Roman" w:hAnsi="Times New Roman"/>
          <w:b/>
          <w:color w:val="000000" w:themeColor="text1"/>
        </w:rPr>
      </w:pPr>
    </w:p>
    <w:p w14:paraId="3F615638" w14:textId="77777777" w:rsidR="005368C5" w:rsidRDefault="005368C5" w:rsidP="00043FA7">
      <w:pPr>
        <w:jc w:val="center"/>
        <w:rPr>
          <w:rFonts w:ascii="Times New Roman" w:hAnsi="Times New Roman"/>
          <w:b/>
          <w:color w:val="000000" w:themeColor="text1"/>
        </w:rPr>
      </w:pPr>
    </w:p>
    <w:p w14:paraId="65178FA8" w14:textId="77777777" w:rsidR="005368C5" w:rsidRDefault="005368C5" w:rsidP="00043FA7">
      <w:pPr>
        <w:jc w:val="center"/>
        <w:rPr>
          <w:rFonts w:ascii="Times New Roman" w:hAnsi="Times New Roman"/>
          <w:b/>
          <w:color w:val="000000" w:themeColor="text1"/>
        </w:rPr>
      </w:pPr>
    </w:p>
    <w:p w14:paraId="12CF27DC" w14:textId="77777777" w:rsidR="005368C5" w:rsidRDefault="005368C5" w:rsidP="00043FA7">
      <w:pPr>
        <w:jc w:val="center"/>
        <w:rPr>
          <w:rFonts w:ascii="Times New Roman" w:hAnsi="Times New Roman"/>
          <w:b/>
          <w:color w:val="000000" w:themeColor="text1"/>
        </w:rPr>
      </w:pPr>
    </w:p>
    <w:p w14:paraId="0E83245F" w14:textId="77777777" w:rsidR="005368C5" w:rsidRDefault="005368C5" w:rsidP="00043FA7">
      <w:pPr>
        <w:jc w:val="center"/>
        <w:rPr>
          <w:rFonts w:ascii="Times New Roman" w:hAnsi="Times New Roman"/>
          <w:b/>
          <w:color w:val="000000" w:themeColor="text1"/>
        </w:rPr>
      </w:pPr>
    </w:p>
    <w:p w14:paraId="0406E959" w14:textId="77777777" w:rsidR="005368C5" w:rsidRDefault="005368C5" w:rsidP="00043FA7">
      <w:pPr>
        <w:jc w:val="center"/>
        <w:rPr>
          <w:rFonts w:ascii="Times New Roman" w:hAnsi="Times New Roman"/>
          <w:b/>
          <w:color w:val="000000" w:themeColor="text1"/>
        </w:rPr>
      </w:pPr>
    </w:p>
    <w:p w14:paraId="6ACDD3DA" w14:textId="77777777" w:rsidR="005368C5" w:rsidRDefault="005368C5" w:rsidP="00043FA7">
      <w:pPr>
        <w:jc w:val="center"/>
        <w:rPr>
          <w:rFonts w:ascii="Times New Roman" w:hAnsi="Times New Roman"/>
          <w:b/>
          <w:color w:val="000000" w:themeColor="text1"/>
        </w:rPr>
      </w:pPr>
    </w:p>
    <w:p w14:paraId="7E4072C4" w14:textId="77777777" w:rsidR="005368C5" w:rsidRDefault="005368C5" w:rsidP="00043FA7">
      <w:pPr>
        <w:jc w:val="center"/>
        <w:rPr>
          <w:rFonts w:ascii="Times New Roman" w:hAnsi="Times New Roman"/>
          <w:b/>
          <w:color w:val="000000" w:themeColor="text1"/>
        </w:rPr>
      </w:pPr>
    </w:p>
    <w:p w14:paraId="0510FB89" w14:textId="77777777" w:rsidR="005368C5" w:rsidRDefault="005368C5" w:rsidP="00043FA7">
      <w:pPr>
        <w:jc w:val="center"/>
        <w:rPr>
          <w:rFonts w:ascii="Times New Roman" w:hAnsi="Times New Roman"/>
          <w:b/>
          <w:color w:val="000000" w:themeColor="text1"/>
        </w:rPr>
      </w:pPr>
    </w:p>
    <w:p w14:paraId="484C4D66" w14:textId="77777777" w:rsidR="00DE4AEC" w:rsidRDefault="00DE4AEC" w:rsidP="00AA7DFD">
      <w:pPr>
        <w:rPr>
          <w:rFonts w:ascii="Times New Roman" w:hAnsi="Times New Roman"/>
          <w:b/>
          <w:color w:val="000000" w:themeColor="text1"/>
        </w:rPr>
      </w:pPr>
    </w:p>
    <w:p w14:paraId="70B67155" w14:textId="77777777" w:rsidR="001F7C50" w:rsidRDefault="001F7C50" w:rsidP="00AA7DFD">
      <w:pPr>
        <w:rPr>
          <w:rFonts w:ascii="Times New Roman" w:hAnsi="Times New Roman"/>
          <w:b/>
          <w:color w:val="000000" w:themeColor="text1"/>
        </w:rPr>
      </w:pPr>
    </w:p>
    <w:p w14:paraId="2108CB06" w14:textId="77777777" w:rsidR="001F7C50" w:rsidRDefault="001F7C50" w:rsidP="00043FA7">
      <w:pPr>
        <w:jc w:val="center"/>
        <w:rPr>
          <w:rFonts w:ascii="Times New Roman" w:hAnsi="Times New Roman"/>
          <w:b/>
          <w:color w:val="000000" w:themeColor="text1"/>
        </w:rPr>
      </w:pPr>
    </w:p>
    <w:p w14:paraId="3535D31E" w14:textId="62E5B2CA" w:rsidR="003A2603" w:rsidRPr="003A2603" w:rsidRDefault="003A2603" w:rsidP="001F7C50">
      <w:pPr>
        <w:jc w:val="center"/>
        <w:rPr>
          <w:rFonts w:ascii="Times New Roman" w:hAnsi="Times New Roman"/>
          <w:b/>
          <w:color w:val="000000" w:themeColor="text1"/>
        </w:rPr>
      </w:pPr>
      <w:r w:rsidRPr="003A2603">
        <w:rPr>
          <w:rFonts w:ascii="Times New Roman" w:hAnsi="Times New Roman"/>
          <w:b/>
          <w:color w:val="000000" w:themeColor="text1"/>
        </w:rPr>
        <w:lastRenderedPageBreak/>
        <w:t>JUSTIFICATIVA</w:t>
      </w:r>
    </w:p>
    <w:p w14:paraId="720EC42B" w14:textId="77777777" w:rsidR="003A2603" w:rsidRDefault="003A2603" w:rsidP="003A2603">
      <w:pPr>
        <w:ind w:firstLine="708"/>
        <w:rPr>
          <w:rFonts w:ascii="Times New Roman" w:hAnsi="Times New Roman"/>
          <w:bCs/>
          <w:color w:val="000000" w:themeColor="text1"/>
        </w:rPr>
      </w:pPr>
    </w:p>
    <w:p w14:paraId="2CB4FFAC" w14:textId="77777777" w:rsidR="00DE4AEC" w:rsidRPr="00DE4AEC" w:rsidRDefault="00DE4AEC" w:rsidP="00DE4AEC">
      <w:pPr>
        <w:spacing w:line="360" w:lineRule="auto"/>
        <w:ind w:firstLine="708"/>
        <w:rPr>
          <w:rFonts w:ascii="Times New Roman" w:hAnsi="Times New Roman"/>
          <w:bCs/>
          <w:color w:val="000000" w:themeColor="text1"/>
        </w:rPr>
      </w:pPr>
      <w:r w:rsidRPr="00DE4AEC">
        <w:rPr>
          <w:rFonts w:ascii="Times New Roman" w:hAnsi="Times New Roman"/>
          <w:bCs/>
          <w:color w:val="000000" w:themeColor="text1"/>
        </w:rPr>
        <w:t xml:space="preserve">O presente Projeto de Lei propõe a </w:t>
      </w:r>
      <w:proofErr w:type="spellStart"/>
      <w:r w:rsidRPr="00DE4AEC">
        <w:rPr>
          <w:rFonts w:ascii="Times New Roman" w:hAnsi="Times New Roman"/>
          <w:bCs/>
          <w:color w:val="000000" w:themeColor="text1"/>
        </w:rPr>
        <w:t>RedeLeite</w:t>
      </w:r>
      <w:proofErr w:type="spellEnd"/>
      <w:r w:rsidRPr="00DE4AEC">
        <w:rPr>
          <w:rFonts w:ascii="Times New Roman" w:hAnsi="Times New Roman"/>
          <w:bCs/>
          <w:color w:val="000000" w:themeColor="text1"/>
        </w:rPr>
        <w:t xml:space="preserve"> MA como política estadual integrada de apoio ao aleitamento materno, incentivo à doação segura do leite humano excedente e transparência dos estoques. Deve-se destacar que o leite da mãe pertence prioritariamente ao seu próprio filho; a doação é voluntária e se limita ao excedente, após orientação e avaliação pelos serviços competentes.</w:t>
      </w:r>
    </w:p>
    <w:p w14:paraId="36C140C7" w14:textId="77777777" w:rsidR="00DE4AEC" w:rsidRPr="00DE4AEC" w:rsidRDefault="00DE4AEC" w:rsidP="00DE4AEC">
      <w:pPr>
        <w:spacing w:line="360" w:lineRule="auto"/>
        <w:ind w:firstLine="708"/>
        <w:rPr>
          <w:rFonts w:ascii="Times New Roman" w:hAnsi="Times New Roman"/>
          <w:bCs/>
          <w:color w:val="000000" w:themeColor="text1"/>
        </w:rPr>
      </w:pPr>
      <w:r w:rsidRPr="00DE4AEC">
        <w:rPr>
          <w:rFonts w:ascii="Times New Roman" w:hAnsi="Times New Roman"/>
          <w:bCs/>
          <w:color w:val="000000" w:themeColor="text1"/>
        </w:rPr>
        <w:t>A Constituição Federal estabelece a saúde como direito de todos e dever do Estado e organiza o SUS em rede regionalizada e hierarquizada. Também atribui competência comum aos entes federativos para cuidar da saúde e competência concorrente para legislar sobre sua proteção. A Lei nº 8.080, de 1990, disciplina a promoção, a proteção e a recuperação da saúde e a organização dos serviços.</w:t>
      </w:r>
    </w:p>
    <w:p w14:paraId="2EDEDD39" w14:textId="77777777" w:rsidR="00DE4AEC" w:rsidRPr="00DE4AEC" w:rsidRDefault="00DE4AEC" w:rsidP="00DE4AEC">
      <w:pPr>
        <w:spacing w:line="360" w:lineRule="auto"/>
        <w:ind w:firstLine="708"/>
        <w:rPr>
          <w:rFonts w:ascii="Times New Roman" w:hAnsi="Times New Roman"/>
          <w:bCs/>
          <w:color w:val="000000" w:themeColor="text1"/>
        </w:rPr>
      </w:pPr>
      <w:r w:rsidRPr="00DE4AEC">
        <w:rPr>
          <w:rFonts w:ascii="Times New Roman" w:hAnsi="Times New Roman"/>
          <w:bCs/>
          <w:color w:val="000000" w:themeColor="text1"/>
        </w:rPr>
        <w:t>Os Bancos de Leite Humano oferecem assistência à amamentação e realizam coleta, processamento, controle de qualidade e distribuição. A RDC Anvisa nº 171, de 2006, fixa requisitos sanitários e veda a comercialização. Por isso, a minuta proíbe intermediação direta entre particulares e preserva a decisão técnica sobre doadoras, classificação do leite e receptores.</w:t>
      </w:r>
    </w:p>
    <w:p w14:paraId="36D99FC3" w14:textId="77777777" w:rsidR="00DE4AEC" w:rsidRPr="00DE4AEC" w:rsidRDefault="00DE4AEC" w:rsidP="00DE4AEC">
      <w:pPr>
        <w:spacing w:line="360" w:lineRule="auto"/>
        <w:ind w:firstLine="708"/>
        <w:rPr>
          <w:rFonts w:ascii="Times New Roman" w:hAnsi="Times New Roman"/>
          <w:bCs/>
          <w:color w:val="000000" w:themeColor="text1"/>
        </w:rPr>
      </w:pPr>
      <w:r w:rsidRPr="00DE4AEC">
        <w:rPr>
          <w:rFonts w:ascii="Times New Roman" w:hAnsi="Times New Roman"/>
          <w:bCs/>
          <w:color w:val="000000" w:themeColor="text1"/>
        </w:rPr>
        <w:t xml:space="preserve">A urgência da matéria é demonstrada pela realidade maranhense. Em 14 de julho de 2026, o Banco de Leite Humano do Hospital Universitário da Universidade Federal do Maranhão veiculou apelo público por doações diante da baixa acentuada de seu estoque, indispensável ao atendimento de bebês prematuros internados em unidades neonatais, conforme noticiado pelos </w:t>
      </w:r>
      <w:r w:rsidRPr="00DE4AEC">
        <w:rPr>
          <w:rFonts w:ascii="Times New Roman" w:hAnsi="Times New Roman"/>
          <w:bCs/>
        </w:rPr>
        <w:t xml:space="preserve">portais </w:t>
      </w:r>
      <w:hyperlink r:id="rId8" w:history="1">
        <w:proofErr w:type="spellStart"/>
        <w:r w:rsidRPr="00DE4AEC">
          <w:rPr>
            <w:rStyle w:val="Hyperlink"/>
            <w:rFonts w:ascii="Times New Roman" w:hAnsi="Times New Roman"/>
            <w:bCs/>
            <w:color w:val="auto"/>
          </w:rPr>
          <w:t>Imirante</w:t>
        </w:r>
        <w:proofErr w:type="spellEnd"/>
      </w:hyperlink>
      <w:r w:rsidRPr="00DE4AEC">
        <w:rPr>
          <w:rFonts w:ascii="Times New Roman" w:hAnsi="Times New Roman"/>
          <w:bCs/>
        </w:rPr>
        <w:t xml:space="preserve"> e </w:t>
      </w:r>
      <w:hyperlink r:id="rId9" w:history="1">
        <w:r w:rsidRPr="00DE4AEC">
          <w:rPr>
            <w:rStyle w:val="Hyperlink"/>
            <w:rFonts w:ascii="Times New Roman" w:hAnsi="Times New Roman"/>
            <w:bCs/>
            <w:color w:val="auto"/>
          </w:rPr>
          <w:t>Jornal Pequeno</w:t>
        </w:r>
      </w:hyperlink>
      <w:r w:rsidRPr="00DE4AEC">
        <w:rPr>
          <w:rFonts w:ascii="Times New Roman" w:hAnsi="Times New Roman"/>
          <w:bCs/>
        </w:rPr>
        <w:t xml:space="preserve">. No ano passado, o Banco de Leite Humano da Maternidade de Alta Complexidade do Maranhão, referência estadual, convive com déficit estrutural de arrecadação, com coleta média mensal em torno de cento e vinte litros para uma necessidade estimada de duzentos e dez litros, conforme registrado pela </w:t>
      </w:r>
      <w:hyperlink r:id="rId10" w:history="1">
        <w:r w:rsidRPr="00DE4AEC">
          <w:rPr>
            <w:rStyle w:val="Hyperlink"/>
            <w:rFonts w:ascii="Times New Roman" w:hAnsi="Times New Roman"/>
            <w:bCs/>
            <w:color w:val="auto"/>
          </w:rPr>
          <w:t>TV Assembleia</w:t>
        </w:r>
      </w:hyperlink>
      <w:r w:rsidRPr="00DE4AEC">
        <w:rPr>
          <w:rFonts w:ascii="Times New Roman" w:hAnsi="Times New Roman"/>
          <w:bCs/>
        </w:rPr>
        <w:t xml:space="preserve">. Em todos esses episódios, a informação somente alcançou a população por apelos episódicos veiculados </w:t>
      </w:r>
      <w:r w:rsidRPr="00DE4AEC">
        <w:rPr>
          <w:rFonts w:ascii="Times New Roman" w:hAnsi="Times New Roman"/>
          <w:bCs/>
          <w:color w:val="000000" w:themeColor="text1"/>
        </w:rPr>
        <w:t>pela imprensa, quando o desabastecimento já se encontrava instalado, exatamente a lacuna de mobilização permanente que esta Política visa suprir.</w:t>
      </w:r>
    </w:p>
    <w:p w14:paraId="55D2BD53" w14:textId="77777777" w:rsidR="00DE4AEC" w:rsidRPr="00DE4AEC" w:rsidRDefault="00DE4AEC" w:rsidP="00DE4AEC">
      <w:pPr>
        <w:spacing w:line="360" w:lineRule="auto"/>
        <w:ind w:firstLine="708"/>
        <w:rPr>
          <w:rFonts w:ascii="Times New Roman" w:hAnsi="Times New Roman"/>
          <w:bCs/>
          <w:color w:val="000000" w:themeColor="text1"/>
        </w:rPr>
      </w:pPr>
      <w:r w:rsidRPr="00DE4AEC">
        <w:rPr>
          <w:rFonts w:ascii="Times New Roman" w:hAnsi="Times New Roman"/>
          <w:bCs/>
          <w:color w:val="000000" w:themeColor="text1"/>
        </w:rPr>
        <w:lastRenderedPageBreak/>
        <w:t>A inovação une mobilização da doadora, inteligência pública de estoques e coordenação territorial. O painel começa pela situação geral do Estado e permite leitura segmentada, com horário da atualização e aviso de indisponibilidade. A opção "Quero doar para a maternidade mais próxima" aproxima a usuária do serviço habilitado, sem converter preferência geográfica em regra clínica. A proposta inclui dúvidas e dificuldades comuns da lactação, linguagem acolhedora e encaminhamento profissional diante de sinais de alerta. A interface deve estimular solidariedade sem explorar medo, culpa ou pressão sobre a mãe. Dados de saúde, contato, histórico de doação e localização exigem controles rigorosos. A plataforma coletará apenas o necessário, oferecerá busca sem localização precisa quando possível, impedirá exposição individual e adotará segurança, auditoria, continuidade e descarte adequado, em conformidade com a LGPD.</w:t>
      </w:r>
    </w:p>
    <w:p w14:paraId="10B60FEB" w14:textId="77777777" w:rsidR="00DE4AEC" w:rsidRPr="00DE4AEC" w:rsidRDefault="00DE4AEC" w:rsidP="00DE4AEC">
      <w:pPr>
        <w:spacing w:line="360" w:lineRule="auto"/>
        <w:ind w:firstLine="708"/>
        <w:rPr>
          <w:rFonts w:ascii="Times New Roman" w:hAnsi="Times New Roman"/>
          <w:bCs/>
          <w:color w:val="000000" w:themeColor="text1"/>
        </w:rPr>
      </w:pPr>
      <w:r w:rsidRPr="00DE4AEC">
        <w:rPr>
          <w:rFonts w:ascii="Times New Roman" w:hAnsi="Times New Roman"/>
          <w:bCs/>
          <w:color w:val="000000" w:themeColor="text1"/>
        </w:rPr>
        <w:t>A proposta define princípios, objetivos, direitos e salvaguardas, sem criar cargos, órgãos ou atribuições nominais a Secretarias. A implantação é progressiva e respeita o planejamento do SUS. Recomenda-se revisão final pela Consultoria Legislativa, inclusive sobre Constituição Estadual, impacto orçamentário e soluções tecnológicas existentes.</w:t>
      </w:r>
    </w:p>
    <w:p w14:paraId="338D5A07" w14:textId="77777777" w:rsidR="00DE4AEC" w:rsidRPr="00DE4AEC" w:rsidRDefault="00DE4AEC" w:rsidP="00DE4AEC">
      <w:pPr>
        <w:spacing w:line="360" w:lineRule="auto"/>
        <w:ind w:firstLine="708"/>
        <w:rPr>
          <w:rFonts w:ascii="Times New Roman" w:hAnsi="Times New Roman"/>
          <w:bCs/>
          <w:color w:val="000000" w:themeColor="text1"/>
        </w:rPr>
      </w:pPr>
      <w:r w:rsidRPr="00DE4AEC">
        <w:rPr>
          <w:rFonts w:ascii="Times New Roman" w:hAnsi="Times New Roman"/>
          <w:bCs/>
          <w:color w:val="000000" w:themeColor="text1"/>
        </w:rPr>
        <w:t>A jurisprudência do Supremo Tribunal Federal ampara integralmente a proposição. No Tema 917 da repercussão geral, firmou-se a tese de que não usurpa competência privativa do Chefe do Poder Executivo a lei que, embora crie despesa para a Administração, não trata da sua estrutura ou da atribuição de seus órgãos nem do regime jurídico de servidores públicos. Em hipótese análoga à presente, no ARE 1.436.429, o Supremo Tribunal Federal reconheceu a constitucionalidade de lei de iniciativa parlamentar que determina a divulgação, em sítio eletrônico oficial, do estoque e do fornecimento mensal dos medicamentos das farmácias públicas, com atualização mínima diária, registrando que normas semelhantes têm sido reiteradamente validadas pela Corte. Por fim, tendo os instrumentos desta Política caráter autorizativo e implantação progressiva, sem criação de despesa obrigatória nem renúncia de receita, não incide a exigência de estimativa de impacto orçamentário-financeiro fixada na tese vinculante da ADI 7.633, julgada em 30 de abril de 2026, sem prejuízo da instrução complementar que a Consultoria Legislativa reputar prudente.</w:t>
      </w:r>
    </w:p>
    <w:p w14:paraId="50C38619" w14:textId="77777777" w:rsidR="00DE4AEC" w:rsidRPr="00DE4AEC" w:rsidRDefault="00DE4AEC" w:rsidP="00DE4AEC">
      <w:pPr>
        <w:spacing w:line="360" w:lineRule="auto"/>
        <w:ind w:firstLine="708"/>
        <w:rPr>
          <w:rFonts w:ascii="Times New Roman" w:hAnsi="Times New Roman"/>
          <w:bCs/>
          <w:color w:val="000000" w:themeColor="text1"/>
        </w:rPr>
      </w:pPr>
      <w:r w:rsidRPr="00DE4AEC">
        <w:rPr>
          <w:rFonts w:ascii="Times New Roman" w:hAnsi="Times New Roman"/>
          <w:bCs/>
          <w:color w:val="000000" w:themeColor="text1"/>
        </w:rPr>
        <w:lastRenderedPageBreak/>
        <w:t xml:space="preserve">A </w:t>
      </w:r>
      <w:proofErr w:type="spellStart"/>
      <w:r w:rsidRPr="00DE4AEC">
        <w:rPr>
          <w:rFonts w:ascii="Times New Roman" w:hAnsi="Times New Roman"/>
          <w:bCs/>
          <w:color w:val="000000" w:themeColor="text1"/>
        </w:rPr>
        <w:t>RedeLeite</w:t>
      </w:r>
      <w:proofErr w:type="spellEnd"/>
      <w:r w:rsidRPr="00DE4AEC">
        <w:rPr>
          <w:rFonts w:ascii="Times New Roman" w:hAnsi="Times New Roman"/>
          <w:bCs/>
          <w:color w:val="000000" w:themeColor="text1"/>
        </w:rPr>
        <w:t xml:space="preserve"> MA pode transformar informação dispersa em ação coordenada, com mães amparadas, serviços conectados, estoques visíveis e leite humano seguro chegando, segundo critérios clínicos, a quem mais precisa. Solicita-se o apoio dos nobres Pares para a aprovação da matéria.</w:t>
      </w:r>
    </w:p>
    <w:p w14:paraId="628CDA8E" w14:textId="77777777" w:rsidR="005368C5" w:rsidRDefault="005368C5" w:rsidP="00043FA7">
      <w:pPr>
        <w:spacing w:line="360" w:lineRule="auto"/>
        <w:ind w:firstLine="708"/>
        <w:rPr>
          <w:rFonts w:ascii="Times New Roman" w:hAnsi="Times New Roman"/>
          <w:bCs/>
          <w:color w:val="000000" w:themeColor="text1"/>
        </w:rPr>
      </w:pPr>
    </w:p>
    <w:p w14:paraId="74CF038E" w14:textId="77777777" w:rsidR="005368C5" w:rsidRDefault="005368C5" w:rsidP="00043FA7">
      <w:pPr>
        <w:spacing w:line="360" w:lineRule="auto"/>
        <w:ind w:firstLine="708"/>
        <w:rPr>
          <w:rFonts w:ascii="Times New Roman" w:hAnsi="Times New Roman"/>
          <w:bCs/>
          <w:color w:val="000000" w:themeColor="text1"/>
        </w:rPr>
      </w:pPr>
    </w:p>
    <w:p w14:paraId="552B85AA" w14:textId="77777777" w:rsidR="005368C5" w:rsidRDefault="005368C5" w:rsidP="00043FA7">
      <w:pPr>
        <w:spacing w:line="360" w:lineRule="auto"/>
        <w:ind w:firstLine="708"/>
        <w:rPr>
          <w:rFonts w:ascii="Times New Roman" w:hAnsi="Times New Roman"/>
          <w:bCs/>
          <w:color w:val="000000" w:themeColor="text1"/>
        </w:rPr>
      </w:pPr>
    </w:p>
    <w:p w14:paraId="64E15791" w14:textId="33E94A1E" w:rsidR="00043FA7" w:rsidRPr="00043FA7" w:rsidRDefault="003A2603" w:rsidP="00043FA7">
      <w:pPr>
        <w:jc w:val="center"/>
        <w:rPr>
          <w:rFonts w:ascii="Times New Roman" w:hAnsi="Times New Roman"/>
          <w:b/>
          <w:color w:val="000000" w:themeColor="text1"/>
        </w:rPr>
      </w:pPr>
      <w:r w:rsidRPr="00043FA7">
        <w:rPr>
          <w:rFonts w:ascii="Times New Roman" w:hAnsi="Times New Roman"/>
          <w:b/>
          <w:color w:val="000000" w:themeColor="text1"/>
        </w:rPr>
        <w:t>DR. YGLÉSIO</w:t>
      </w:r>
    </w:p>
    <w:p w14:paraId="30524492" w14:textId="23649629" w:rsidR="003A2603" w:rsidRPr="00043FA7" w:rsidRDefault="003A2603" w:rsidP="00043FA7">
      <w:pPr>
        <w:jc w:val="center"/>
        <w:rPr>
          <w:rFonts w:ascii="Times New Roman" w:hAnsi="Times New Roman"/>
          <w:b/>
          <w:color w:val="000000" w:themeColor="text1"/>
        </w:rPr>
      </w:pPr>
      <w:r w:rsidRPr="00043FA7">
        <w:rPr>
          <w:rFonts w:ascii="Times New Roman" w:hAnsi="Times New Roman"/>
          <w:b/>
          <w:color w:val="000000" w:themeColor="text1"/>
        </w:rPr>
        <w:t>DEPUTADO ESTADUAL</w:t>
      </w:r>
    </w:p>
    <w:p w14:paraId="1B58D9BC" w14:textId="77777777" w:rsidR="003A2603" w:rsidRDefault="003A2603" w:rsidP="009622BA">
      <w:pPr>
        <w:jc w:val="center"/>
        <w:rPr>
          <w:rFonts w:ascii="Times New Roman" w:hAnsi="Times New Roman"/>
          <w:b/>
          <w:color w:val="000000" w:themeColor="text1"/>
        </w:rPr>
      </w:pPr>
    </w:p>
    <w:p w14:paraId="03B2CEFC" w14:textId="77777777" w:rsidR="003A2603" w:rsidRDefault="003A2603" w:rsidP="009622BA">
      <w:pPr>
        <w:jc w:val="center"/>
        <w:rPr>
          <w:rFonts w:ascii="Times New Roman" w:hAnsi="Times New Roman"/>
          <w:b/>
          <w:color w:val="000000" w:themeColor="text1"/>
        </w:rPr>
      </w:pPr>
    </w:p>
    <w:p w14:paraId="12C390AB" w14:textId="77777777" w:rsidR="003A2603" w:rsidRDefault="003A2603" w:rsidP="009622BA">
      <w:pPr>
        <w:jc w:val="center"/>
        <w:rPr>
          <w:rFonts w:ascii="Times New Roman" w:hAnsi="Times New Roman"/>
          <w:b/>
          <w:color w:val="000000" w:themeColor="text1"/>
        </w:rPr>
      </w:pPr>
    </w:p>
    <w:p w14:paraId="68F8686D" w14:textId="734E7F30" w:rsidR="00FB59B8" w:rsidRPr="00876BF1" w:rsidRDefault="00FB59B8" w:rsidP="00876BF1">
      <w:pPr>
        <w:tabs>
          <w:tab w:val="left" w:pos="1418"/>
        </w:tabs>
        <w:jc w:val="center"/>
        <w:rPr>
          <w:rFonts w:ascii="Times New Roman" w:hAnsi="Times New Roman"/>
          <w:b/>
        </w:rPr>
      </w:pPr>
    </w:p>
    <w:sectPr w:rsidR="00FB59B8" w:rsidRPr="00876BF1" w:rsidSect="00F92019">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1896E" w14:textId="77777777" w:rsidR="008F6231" w:rsidRDefault="008F6231" w:rsidP="00D20BFA">
      <w:r>
        <w:separator/>
      </w:r>
    </w:p>
  </w:endnote>
  <w:endnote w:type="continuationSeparator" w:id="0">
    <w:p w14:paraId="3DAA098A" w14:textId="77777777" w:rsidR="008F6231" w:rsidRDefault="008F6231" w:rsidP="00D20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C3496" w14:textId="77777777" w:rsidR="008F6231" w:rsidRDefault="008F6231" w:rsidP="00D20BFA">
      <w:r>
        <w:separator/>
      </w:r>
    </w:p>
  </w:footnote>
  <w:footnote w:type="continuationSeparator" w:id="0">
    <w:p w14:paraId="7FF007A8" w14:textId="77777777" w:rsidR="008F6231" w:rsidRDefault="008F6231" w:rsidP="00D20B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2FDB9" w14:textId="77777777" w:rsidR="00D20BFA" w:rsidRDefault="00D20BFA" w:rsidP="00D20BFA">
    <w:pPr>
      <w:pStyle w:val="Normal1"/>
      <w:jc w:val="center"/>
    </w:pPr>
    <w:r>
      <w:rPr>
        <w:noProof/>
        <w:lang w:eastAsia="pt-BR"/>
      </w:rPr>
      <w:drawing>
        <wp:inline distT="114300" distB="114300" distL="114300" distR="114300" wp14:anchorId="790544C5" wp14:editId="5A2C2DC7">
          <wp:extent cx="709613" cy="709613"/>
          <wp:effectExtent l="0" t="0" r="0" b="0"/>
          <wp:docPr id="106153734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9613" cy="709613"/>
                  </a:xfrm>
                  <a:prstGeom prst="rect">
                    <a:avLst/>
                  </a:prstGeom>
                  <a:ln/>
                </pic:spPr>
              </pic:pic>
            </a:graphicData>
          </a:graphic>
        </wp:inline>
      </w:drawing>
    </w:r>
  </w:p>
  <w:p w14:paraId="578C8B41" w14:textId="77777777" w:rsidR="00D20BFA" w:rsidRDefault="00D20BFA" w:rsidP="00D20BFA">
    <w:pPr>
      <w:pStyle w:val="Normal1"/>
      <w:spacing w:line="240" w:lineRule="auto"/>
      <w:jc w:val="center"/>
      <w:rPr>
        <w:rFonts w:ascii="Times New Roman" w:hAnsi="Times New Roman" w:cs="Times New Roman"/>
        <w:b/>
        <w:sz w:val="24"/>
        <w:szCs w:val="24"/>
      </w:rPr>
    </w:pPr>
    <w:r w:rsidRPr="00A20743">
      <w:rPr>
        <w:rFonts w:ascii="Times New Roman" w:hAnsi="Times New Roman" w:cs="Times New Roman"/>
        <w:b/>
        <w:sz w:val="24"/>
        <w:szCs w:val="24"/>
      </w:rPr>
      <w:t>ESTADO DO MARANHÃO</w:t>
    </w:r>
  </w:p>
  <w:p w14:paraId="45C72FC7" w14:textId="317B78F1" w:rsidR="00D20BFA" w:rsidRPr="00A20743" w:rsidRDefault="005037DC" w:rsidP="00D20BFA">
    <w:pPr>
      <w:pStyle w:val="Normal1"/>
      <w:spacing w:line="240" w:lineRule="auto"/>
      <w:jc w:val="center"/>
      <w:rPr>
        <w:rFonts w:ascii="Times New Roman" w:hAnsi="Times New Roman" w:cs="Times New Roman"/>
        <w:b/>
        <w:sz w:val="24"/>
        <w:szCs w:val="24"/>
      </w:rPr>
    </w:pPr>
    <w:r w:rsidRPr="00A20743">
      <w:rPr>
        <w:rFonts w:ascii="Times New Roman" w:hAnsi="Times New Roman" w:cs="Times New Roman"/>
        <w:b/>
        <w:sz w:val="24"/>
        <w:szCs w:val="24"/>
      </w:rPr>
      <w:t>ASSEMBLEIA LEGISLATIVA</w:t>
    </w:r>
    <w:r w:rsidR="00D20BFA" w:rsidRPr="00A20743">
      <w:rPr>
        <w:rFonts w:ascii="Times New Roman" w:hAnsi="Times New Roman" w:cs="Times New Roman"/>
        <w:b/>
        <w:sz w:val="24"/>
        <w:szCs w:val="24"/>
      </w:rPr>
      <w:br/>
      <w:t>GABINETE DO DEP</w:t>
    </w:r>
    <w:r w:rsidR="00D20BFA">
      <w:rPr>
        <w:rFonts w:ascii="Times New Roman" w:hAnsi="Times New Roman" w:cs="Times New Roman"/>
        <w:b/>
        <w:sz w:val="24"/>
        <w:szCs w:val="24"/>
      </w:rPr>
      <w:t>UTADO</w:t>
    </w:r>
    <w:r w:rsidR="00D20BFA" w:rsidRPr="00A20743">
      <w:rPr>
        <w:rFonts w:ascii="Times New Roman" w:hAnsi="Times New Roman" w:cs="Times New Roman"/>
        <w:b/>
        <w:sz w:val="24"/>
        <w:szCs w:val="24"/>
      </w:rPr>
      <w:t xml:space="preserve"> DR. YGLÉSIO</w:t>
    </w:r>
  </w:p>
  <w:p w14:paraId="0580C61B" w14:textId="77777777" w:rsidR="00D20BFA" w:rsidRDefault="00D20BFA">
    <w:pPr>
      <w:pStyle w:val="Cabealho"/>
    </w:pPr>
  </w:p>
  <w:p w14:paraId="383CA0FF" w14:textId="77777777" w:rsidR="00D20BFA" w:rsidRDefault="00D20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703C58"/>
    <w:multiLevelType w:val="hybridMultilevel"/>
    <w:tmpl w:val="BC547124"/>
    <w:lvl w:ilvl="0" w:tplc="6E1A7D9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41278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8AB"/>
    <w:rsid w:val="00043FA7"/>
    <w:rsid w:val="000D3251"/>
    <w:rsid w:val="00156899"/>
    <w:rsid w:val="001D2B55"/>
    <w:rsid w:val="001F3A88"/>
    <w:rsid w:val="001F7C50"/>
    <w:rsid w:val="00245E34"/>
    <w:rsid w:val="00271363"/>
    <w:rsid w:val="002800C2"/>
    <w:rsid w:val="002A42D1"/>
    <w:rsid w:val="002B2F68"/>
    <w:rsid w:val="0038050D"/>
    <w:rsid w:val="003A2603"/>
    <w:rsid w:val="003B40F1"/>
    <w:rsid w:val="003F3150"/>
    <w:rsid w:val="00421050"/>
    <w:rsid w:val="00433634"/>
    <w:rsid w:val="00437D07"/>
    <w:rsid w:val="00473D7C"/>
    <w:rsid w:val="0048544C"/>
    <w:rsid w:val="004A49D9"/>
    <w:rsid w:val="004A53CE"/>
    <w:rsid w:val="005037DC"/>
    <w:rsid w:val="005368C5"/>
    <w:rsid w:val="00555E69"/>
    <w:rsid w:val="005A79A8"/>
    <w:rsid w:val="005E4E60"/>
    <w:rsid w:val="006242A1"/>
    <w:rsid w:val="0064220B"/>
    <w:rsid w:val="007358E7"/>
    <w:rsid w:val="007420A5"/>
    <w:rsid w:val="007C150B"/>
    <w:rsid w:val="008155A4"/>
    <w:rsid w:val="00876BF1"/>
    <w:rsid w:val="008C7316"/>
    <w:rsid w:val="008F6231"/>
    <w:rsid w:val="00906CE4"/>
    <w:rsid w:val="00953410"/>
    <w:rsid w:val="009622BA"/>
    <w:rsid w:val="0096477E"/>
    <w:rsid w:val="009D6195"/>
    <w:rsid w:val="009D67A7"/>
    <w:rsid w:val="009F28AB"/>
    <w:rsid w:val="00A01C17"/>
    <w:rsid w:val="00A03D25"/>
    <w:rsid w:val="00A9732E"/>
    <w:rsid w:val="00AA7DFD"/>
    <w:rsid w:val="00AB52B2"/>
    <w:rsid w:val="00AD33F0"/>
    <w:rsid w:val="00B074CE"/>
    <w:rsid w:val="00B23F5B"/>
    <w:rsid w:val="00B44F26"/>
    <w:rsid w:val="00B701E4"/>
    <w:rsid w:val="00B834C5"/>
    <w:rsid w:val="00BD6F7A"/>
    <w:rsid w:val="00BF510C"/>
    <w:rsid w:val="00C1430C"/>
    <w:rsid w:val="00C35724"/>
    <w:rsid w:val="00C81B86"/>
    <w:rsid w:val="00C81C2B"/>
    <w:rsid w:val="00C97DA6"/>
    <w:rsid w:val="00CB4DAB"/>
    <w:rsid w:val="00D07C72"/>
    <w:rsid w:val="00D20BFA"/>
    <w:rsid w:val="00D3023F"/>
    <w:rsid w:val="00D85A56"/>
    <w:rsid w:val="00DB24B8"/>
    <w:rsid w:val="00DE4AEC"/>
    <w:rsid w:val="00E009EB"/>
    <w:rsid w:val="00E4639E"/>
    <w:rsid w:val="00E46958"/>
    <w:rsid w:val="00E503DA"/>
    <w:rsid w:val="00E54570"/>
    <w:rsid w:val="00EB7868"/>
    <w:rsid w:val="00EC069A"/>
    <w:rsid w:val="00F00E09"/>
    <w:rsid w:val="00F1180E"/>
    <w:rsid w:val="00F257F9"/>
    <w:rsid w:val="00F31BF1"/>
    <w:rsid w:val="00F357A6"/>
    <w:rsid w:val="00F54624"/>
    <w:rsid w:val="00F86002"/>
    <w:rsid w:val="00F90B38"/>
    <w:rsid w:val="00F92019"/>
    <w:rsid w:val="00FB2B47"/>
    <w:rsid w:val="00FB59B8"/>
    <w:rsid w:val="00FC0FC8"/>
    <w:rsid w:val="00FC71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00AEA"/>
  <w15:chartTrackingRefBased/>
  <w15:docId w15:val="{CD4E4B6F-A1A0-45FB-9052-FACBB55A1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8AB"/>
    <w:pPr>
      <w:spacing w:after="0" w:line="240" w:lineRule="auto"/>
      <w:jc w:val="both"/>
    </w:pPr>
    <w:rPr>
      <w:rFonts w:ascii="Arial" w:eastAsia="Times New Roman" w:hAnsi="Arial" w:cs="Times New Roman"/>
      <w:sz w:val="24"/>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
    <w:basedOn w:val="Normal"/>
    <w:link w:val="CabealhoChar"/>
    <w:uiPriority w:val="99"/>
    <w:rsid w:val="009F28AB"/>
    <w:pPr>
      <w:tabs>
        <w:tab w:val="center" w:pos="4252"/>
        <w:tab w:val="right" w:pos="8504"/>
      </w:tabs>
    </w:pPr>
  </w:style>
  <w:style w:type="character" w:customStyle="1" w:styleId="CabealhoChar">
    <w:name w:val="Cabeçalho Char"/>
    <w:aliases w:val="Char Char"/>
    <w:basedOn w:val="Fontepargpadro"/>
    <w:link w:val="Cabealho"/>
    <w:uiPriority w:val="99"/>
    <w:rsid w:val="009F28AB"/>
    <w:rPr>
      <w:rFonts w:ascii="Arial" w:eastAsia="Times New Roman" w:hAnsi="Arial" w:cs="Times New Roman"/>
      <w:sz w:val="24"/>
      <w:szCs w:val="24"/>
      <w:lang w:eastAsia="pt-BR"/>
    </w:rPr>
  </w:style>
  <w:style w:type="paragraph" w:styleId="NormalWeb">
    <w:name w:val="Normal (Web)"/>
    <w:basedOn w:val="Normal"/>
    <w:uiPriority w:val="99"/>
    <w:unhideWhenUsed/>
    <w:rsid w:val="005A79A8"/>
    <w:pPr>
      <w:spacing w:before="100" w:beforeAutospacing="1" w:after="100" w:afterAutospacing="1"/>
      <w:jc w:val="left"/>
    </w:pPr>
    <w:rPr>
      <w:rFonts w:ascii="Times New Roman" w:hAnsi="Times New Roman"/>
    </w:rPr>
  </w:style>
  <w:style w:type="character" w:styleId="Forte">
    <w:name w:val="Strong"/>
    <w:basedOn w:val="Fontepargpadro"/>
    <w:uiPriority w:val="22"/>
    <w:qFormat/>
    <w:rsid w:val="00FB59B8"/>
    <w:rPr>
      <w:b/>
      <w:bCs/>
    </w:rPr>
  </w:style>
  <w:style w:type="paragraph" w:styleId="Corpodetexto">
    <w:name w:val="Body Text"/>
    <w:basedOn w:val="Normal"/>
    <w:link w:val="CorpodetextoChar"/>
    <w:uiPriority w:val="99"/>
    <w:semiHidden/>
    <w:unhideWhenUsed/>
    <w:rsid w:val="004A53CE"/>
    <w:pPr>
      <w:spacing w:after="120"/>
      <w:jc w:val="left"/>
    </w:pPr>
    <w:rPr>
      <w:rFonts w:ascii="Arial (W1)" w:hAnsi="Arial (W1)"/>
      <w:sz w:val="20"/>
      <w:szCs w:val="20"/>
    </w:rPr>
  </w:style>
  <w:style w:type="character" w:customStyle="1" w:styleId="CorpodetextoChar">
    <w:name w:val="Corpo de texto Char"/>
    <w:basedOn w:val="Fontepargpadro"/>
    <w:link w:val="Corpodetexto"/>
    <w:uiPriority w:val="99"/>
    <w:semiHidden/>
    <w:rsid w:val="004A53CE"/>
    <w:rPr>
      <w:rFonts w:ascii="Arial (W1)" w:eastAsia="Times New Roman" w:hAnsi="Arial (W1)" w:cs="Times New Roman"/>
      <w:sz w:val="20"/>
      <w:szCs w:val="20"/>
      <w:lang w:eastAsia="pt-BR"/>
    </w:rPr>
  </w:style>
  <w:style w:type="paragraph" w:styleId="Textodebalo">
    <w:name w:val="Balloon Text"/>
    <w:basedOn w:val="Normal"/>
    <w:link w:val="TextodebaloChar"/>
    <w:uiPriority w:val="99"/>
    <w:semiHidden/>
    <w:unhideWhenUsed/>
    <w:rsid w:val="00C35724"/>
    <w:rPr>
      <w:rFonts w:ascii="Segoe UI" w:hAnsi="Segoe UI" w:cs="Segoe UI"/>
      <w:sz w:val="18"/>
      <w:szCs w:val="18"/>
    </w:rPr>
  </w:style>
  <w:style w:type="character" w:customStyle="1" w:styleId="TextodebaloChar">
    <w:name w:val="Texto de balão Char"/>
    <w:basedOn w:val="Fontepargpadro"/>
    <w:link w:val="Textodebalo"/>
    <w:uiPriority w:val="99"/>
    <w:semiHidden/>
    <w:rsid w:val="00C35724"/>
    <w:rPr>
      <w:rFonts w:ascii="Segoe UI" w:eastAsia="Times New Roman" w:hAnsi="Segoe UI" w:cs="Segoe UI"/>
      <w:sz w:val="18"/>
      <w:szCs w:val="18"/>
      <w:lang w:eastAsia="pt-BR"/>
    </w:rPr>
  </w:style>
  <w:style w:type="paragraph" w:styleId="Rodap">
    <w:name w:val="footer"/>
    <w:basedOn w:val="Normal"/>
    <w:link w:val="RodapChar"/>
    <w:uiPriority w:val="99"/>
    <w:unhideWhenUsed/>
    <w:rsid w:val="00D20BFA"/>
    <w:pPr>
      <w:tabs>
        <w:tab w:val="center" w:pos="4252"/>
        <w:tab w:val="right" w:pos="8504"/>
      </w:tabs>
    </w:pPr>
  </w:style>
  <w:style w:type="character" w:customStyle="1" w:styleId="RodapChar">
    <w:name w:val="Rodapé Char"/>
    <w:basedOn w:val="Fontepargpadro"/>
    <w:link w:val="Rodap"/>
    <w:uiPriority w:val="99"/>
    <w:rsid w:val="00D20BFA"/>
    <w:rPr>
      <w:rFonts w:ascii="Arial" w:eastAsia="Times New Roman" w:hAnsi="Arial" w:cs="Times New Roman"/>
      <w:sz w:val="24"/>
      <w:szCs w:val="24"/>
      <w:lang w:eastAsia="pt-BR"/>
    </w:rPr>
  </w:style>
  <w:style w:type="paragraph" w:customStyle="1" w:styleId="Normal1">
    <w:name w:val="Normal1"/>
    <w:rsid w:val="00D20BFA"/>
    <w:pPr>
      <w:spacing w:after="0" w:line="276" w:lineRule="auto"/>
    </w:pPr>
    <w:rPr>
      <w:rFonts w:ascii="Arial" w:eastAsia="Arial" w:hAnsi="Arial" w:cs="Arial"/>
    </w:rPr>
  </w:style>
  <w:style w:type="character" w:styleId="Hyperlink">
    <w:name w:val="Hyperlink"/>
    <w:basedOn w:val="Fontepargpadro"/>
    <w:uiPriority w:val="99"/>
    <w:unhideWhenUsed/>
    <w:rsid w:val="00DE4AEC"/>
    <w:rPr>
      <w:color w:val="0563C1" w:themeColor="hyperlink"/>
      <w:u w:val="single"/>
    </w:rPr>
  </w:style>
  <w:style w:type="character" w:styleId="MenoPendente">
    <w:name w:val="Unresolved Mention"/>
    <w:basedOn w:val="Fontepargpadro"/>
    <w:uiPriority w:val="99"/>
    <w:semiHidden/>
    <w:unhideWhenUsed/>
    <w:rsid w:val="00DE4A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872373">
      <w:bodyDiv w:val="1"/>
      <w:marLeft w:val="0"/>
      <w:marRight w:val="0"/>
      <w:marTop w:val="0"/>
      <w:marBottom w:val="0"/>
      <w:divBdr>
        <w:top w:val="none" w:sz="0" w:space="0" w:color="auto"/>
        <w:left w:val="none" w:sz="0" w:space="0" w:color="auto"/>
        <w:bottom w:val="none" w:sz="0" w:space="0" w:color="auto"/>
        <w:right w:val="none" w:sz="0" w:space="0" w:color="auto"/>
      </w:divBdr>
    </w:div>
    <w:div w:id="130091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irante.com/noticias/sao-luis/2026/07/14/banco-de-leite-do-hu-ufma-registra-baixa-no-estoque-de-leite-humano-e-precisa-de-doaco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al.ma.leg.br/sitealema/tv/banco-de-leite-humano-da-maternidade-de-alta-complexidade-do-maranhao-esta-com-baixo-estoque/" TargetMode="External"/><Relationship Id="rId4" Type="http://schemas.openxmlformats.org/officeDocument/2006/relationships/settings" Target="settings.xml"/><Relationship Id="rId9" Type="http://schemas.openxmlformats.org/officeDocument/2006/relationships/hyperlink" Target="https://jornalpequeno.com.br/2026/07/14/banco-de-leite-do-hu-ufma-faz-apelo-por-doacoes-para-atender-bebes-prematur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20AF4-4B61-40BD-90B6-FA8EC820E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11</Pages>
  <Words>2694</Words>
  <Characters>14548</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Alinne</dc:creator>
  <cp:keywords/>
  <dc:description/>
  <cp:lastModifiedBy>Maíra Cardoso Leite de Sá</cp:lastModifiedBy>
  <cp:revision>49</cp:revision>
  <cp:lastPrinted>2026-08-10T17:55:00Z</cp:lastPrinted>
  <dcterms:created xsi:type="dcterms:W3CDTF">2023-04-10T13:18:00Z</dcterms:created>
  <dcterms:modified xsi:type="dcterms:W3CDTF">2026-08-10T17:57:00Z</dcterms:modified>
</cp:coreProperties>
</file>